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71AF5" w14:textId="7D578A8C" w:rsidR="008F2AAD" w:rsidRPr="00B80C24" w:rsidRDefault="00350F27" w:rsidP="008F2AAD">
      <w:pPr>
        <w:pStyle w:val="FormtovanvHTML"/>
        <w:jc w:val="center"/>
        <w:rPr>
          <w:rFonts w:ascii="Calibri" w:hAnsi="Calibri" w:cs="Calibri"/>
          <w:b/>
          <w:color w:val="000000"/>
          <w:sz w:val="22"/>
          <w:szCs w:val="22"/>
        </w:rPr>
      </w:pPr>
      <w:r w:rsidRPr="00B80C24">
        <w:rPr>
          <w:rFonts w:ascii="Calibri" w:hAnsi="Calibri" w:cs="Calibri"/>
          <w:b/>
          <w:color w:val="000000"/>
          <w:sz w:val="22"/>
          <w:szCs w:val="22"/>
        </w:rPr>
        <w:t>UPOZORNĚNÍ</w:t>
      </w:r>
    </w:p>
    <w:p w14:paraId="2C85C29A" w14:textId="70149206" w:rsidR="008F2AAD" w:rsidRPr="00B80C24" w:rsidRDefault="008F2AAD" w:rsidP="008F2AAD">
      <w:pPr>
        <w:pStyle w:val="FormtovanvHTML"/>
        <w:jc w:val="center"/>
        <w:rPr>
          <w:rFonts w:ascii="Calibri" w:hAnsi="Calibri" w:cs="Calibri"/>
          <w:b/>
          <w:color w:val="000000"/>
          <w:sz w:val="22"/>
          <w:szCs w:val="22"/>
        </w:rPr>
      </w:pPr>
      <w:r w:rsidRPr="00B80C24">
        <w:rPr>
          <w:rFonts w:ascii="Calibri" w:hAnsi="Calibri" w:cs="Calibri"/>
          <w:b/>
          <w:color w:val="000000"/>
          <w:sz w:val="22"/>
          <w:szCs w:val="22"/>
        </w:rPr>
        <w:t>pro věřitele</w:t>
      </w:r>
      <w:r w:rsidR="00350F27" w:rsidRPr="00B80C24">
        <w:rPr>
          <w:rFonts w:ascii="Calibri" w:hAnsi="Calibri" w:cs="Calibri"/>
          <w:b/>
          <w:color w:val="000000"/>
          <w:sz w:val="22"/>
          <w:szCs w:val="22"/>
        </w:rPr>
        <w:t xml:space="preserve">, zaměstnance </w:t>
      </w:r>
      <w:r w:rsidRPr="00B80C24">
        <w:rPr>
          <w:rFonts w:ascii="Calibri" w:hAnsi="Calibri" w:cs="Calibri"/>
          <w:b/>
          <w:color w:val="000000"/>
          <w:sz w:val="22"/>
          <w:szCs w:val="22"/>
        </w:rPr>
        <w:t>a akcionáře na jejich práva</w:t>
      </w:r>
    </w:p>
    <w:p w14:paraId="22875342" w14:textId="77777777" w:rsidR="008F2AAD" w:rsidRPr="00B80C24" w:rsidRDefault="008F2AAD" w:rsidP="008F2AAD">
      <w:pPr>
        <w:pStyle w:val="FormtovanvHTML"/>
        <w:jc w:val="both"/>
        <w:rPr>
          <w:rFonts w:ascii="Calibri" w:hAnsi="Calibri" w:cs="Calibri"/>
          <w:color w:val="000000"/>
          <w:sz w:val="22"/>
          <w:szCs w:val="22"/>
        </w:rPr>
      </w:pPr>
      <w:r w:rsidRPr="00B80C24">
        <w:rPr>
          <w:rFonts w:ascii="Calibri" w:hAnsi="Calibri" w:cs="Calibri"/>
          <w:color w:val="000000"/>
          <w:sz w:val="22"/>
          <w:szCs w:val="22"/>
        </w:rPr>
        <w:t xml:space="preserve">  </w:t>
      </w:r>
    </w:p>
    <w:p w14:paraId="7ABB1B00" w14:textId="672095F0" w:rsidR="005B7799" w:rsidRPr="00B80C24" w:rsidRDefault="005B7799" w:rsidP="00A84522">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Siln"/>
          <w:rFonts w:asciiTheme="minorHAnsi" w:hAnsiTheme="minorHAnsi" w:cstheme="minorHAnsi"/>
          <w:sz w:val="22"/>
          <w:szCs w:val="22"/>
        </w:rPr>
      </w:pPr>
      <w:r w:rsidRPr="00B80C24">
        <w:rPr>
          <w:rFonts w:asciiTheme="minorHAnsi" w:hAnsiTheme="minorHAnsi" w:cstheme="minorHAnsi"/>
          <w:b/>
          <w:sz w:val="22"/>
          <w:szCs w:val="22"/>
          <w:shd w:val="clear" w:color="auto" w:fill="FFFFFF"/>
        </w:rPr>
        <w:t>Alpine Capital Investment a.s.</w:t>
      </w:r>
      <w:r w:rsidRPr="00B80C24">
        <w:rPr>
          <w:rFonts w:asciiTheme="minorHAnsi" w:hAnsiTheme="minorHAnsi" w:cstheme="minorHAnsi"/>
          <w:sz w:val="22"/>
          <w:szCs w:val="22"/>
        </w:rPr>
        <w:t xml:space="preserve">, se sídlem Belgická 115/40, Vinohrady, 120 00 Praha 2, IČO: </w:t>
      </w:r>
      <w:r w:rsidRPr="00B80C24">
        <w:rPr>
          <w:rFonts w:asciiTheme="minorHAnsi" w:hAnsiTheme="minorHAnsi" w:cstheme="minorHAnsi"/>
          <w:sz w:val="22"/>
          <w:szCs w:val="22"/>
          <w:shd w:val="clear" w:color="auto" w:fill="FFFFFF"/>
        </w:rPr>
        <w:t>09929029,</w:t>
      </w:r>
      <w:r w:rsidRPr="00B80C24">
        <w:rPr>
          <w:rFonts w:asciiTheme="minorHAnsi" w:hAnsiTheme="minorHAnsi" w:cstheme="minorHAnsi"/>
          <w:sz w:val="22"/>
          <w:szCs w:val="22"/>
        </w:rPr>
        <w:t xml:space="preserve"> zapsaná v obchodním rejstříku vedeném </w:t>
      </w:r>
      <w:r w:rsidRPr="00B80C24">
        <w:rPr>
          <w:rFonts w:asciiTheme="minorHAnsi" w:hAnsiTheme="minorHAnsi" w:cstheme="minorHAnsi"/>
          <w:bCs/>
          <w:snapToGrid w:val="0"/>
          <w:sz w:val="22"/>
          <w:szCs w:val="22"/>
        </w:rPr>
        <w:t>Městským soudem v Praze</w:t>
      </w:r>
      <w:r w:rsidRPr="00B80C24">
        <w:rPr>
          <w:rFonts w:asciiTheme="minorHAnsi" w:hAnsiTheme="minorHAnsi" w:cstheme="minorHAnsi"/>
          <w:sz w:val="22"/>
          <w:szCs w:val="22"/>
        </w:rPr>
        <w:t>, sp. značka B 26098</w:t>
      </w:r>
      <w:r w:rsidRPr="00B80C24">
        <w:rPr>
          <w:rStyle w:val="Siln"/>
          <w:rFonts w:asciiTheme="minorHAnsi" w:hAnsiTheme="minorHAnsi" w:cstheme="minorHAnsi"/>
          <w:sz w:val="22"/>
          <w:szCs w:val="22"/>
        </w:rPr>
        <w:t xml:space="preserve"> </w:t>
      </w:r>
    </w:p>
    <w:p w14:paraId="0A11ED3E" w14:textId="77777777" w:rsidR="00234C23" w:rsidRPr="00B80C24" w:rsidRDefault="00234C23" w:rsidP="00234C23">
      <w:pPr>
        <w:pStyle w:val="FormtovanvHTML"/>
        <w:rPr>
          <w:rFonts w:asciiTheme="minorHAnsi" w:hAnsiTheme="minorHAnsi" w:cstheme="minorHAnsi"/>
          <w:color w:val="000000"/>
          <w:sz w:val="22"/>
          <w:szCs w:val="22"/>
        </w:rPr>
      </w:pPr>
      <w:r w:rsidRPr="00B80C24">
        <w:rPr>
          <w:rFonts w:asciiTheme="minorHAnsi" w:hAnsiTheme="minorHAnsi" w:cstheme="minorHAnsi"/>
          <w:color w:val="000000"/>
          <w:sz w:val="22"/>
          <w:szCs w:val="22"/>
        </w:rPr>
        <w:t>(dále jen „</w:t>
      </w:r>
      <w:r w:rsidRPr="00B80C24">
        <w:rPr>
          <w:rFonts w:asciiTheme="minorHAnsi" w:hAnsiTheme="minorHAnsi" w:cstheme="minorHAnsi"/>
          <w:b/>
          <w:color w:val="000000"/>
          <w:sz w:val="22"/>
          <w:szCs w:val="22"/>
        </w:rPr>
        <w:t>Nástupnická společnost</w:t>
      </w:r>
      <w:r w:rsidRPr="00B80C24">
        <w:rPr>
          <w:rFonts w:asciiTheme="minorHAnsi" w:hAnsiTheme="minorHAnsi" w:cstheme="minorHAnsi"/>
          <w:color w:val="000000"/>
          <w:sz w:val="22"/>
          <w:szCs w:val="22"/>
        </w:rPr>
        <w:t>“)</w:t>
      </w:r>
    </w:p>
    <w:p w14:paraId="6A96D08D" w14:textId="723CD21B" w:rsidR="008F2AAD" w:rsidRPr="00B80C24" w:rsidRDefault="008F2AAD" w:rsidP="00234C23">
      <w:pPr>
        <w:pStyle w:val="FormtovanvHTML"/>
        <w:jc w:val="both"/>
        <w:rPr>
          <w:rFonts w:asciiTheme="minorHAnsi" w:hAnsiTheme="minorHAnsi" w:cstheme="minorHAnsi"/>
          <w:color w:val="000000"/>
          <w:sz w:val="22"/>
          <w:szCs w:val="22"/>
        </w:rPr>
      </w:pPr>
    </w:p>
    <w:p w14:paraId="6345AF10" w14:textId="4CEA4A27" w:rsidR="00966B43" w:rsidRPr="00B80C24" w:rsidRDefault="00966B43" w:rsidP="00966B43">
      <w:pPr>
        <w:pStyle w:val="FormtovanvHTML"/>
        <w:jc w:val="both"/>
        <w:rPr>
          <w:rFonts w:asciiTheme="minorHAnsi" w:hAnsiTheme="minorHAnsi" w:cstheme="minorHAnsi"/>
          <w:bCs/>
          <w:color w:val="000000"/>
          <w:sz w:val="22"/>
          <w:szCs w:val="22"/>
        </w:rPr>
      </w:pPr>
      <w:r w:rsidRPr="00B80C24">
        <w:rPr>
          <w:rFonts w:asciiTheme="minorHAnsi" w:hAnsiTheme="minorHAnsi" w:cstheme="minorHAnsi"/>
          <w:bCs/>
          <w:color w:val="000000"/>
          <w:sz w:val="22"/>
          <w:szCs w:val="22"/>
        </w:rPr>
        <w:t>Nástupnická společnost (</w:t>
      </w:r>
      <w:r w:rsidRPr="00B80C24">
        <w:rPr>
          <w:rFonts w:asciiTheme="minorHAnsi" w:hAnsiTheme="minorHAnsi" w:cstheme="minorHAnsi"/>
          <w:bCs/>
          <w:i/>
          <w:iCs/>
          <w:color w:val="000000"/>
          <w:sz w:val="22"/>
          <w:szCs w:val="22"/>
        </w:rPr>
        <w:t>akciová společnost založená dle českého práva</w:t>
      </w:r>
      <w:r w:rsidRPr="00B80C24">
        <w:rPr>
          <w:rFonts w:asciiTheme="minorHAnsi" w:hAnsiTheme="minorHAnsi" w:cstheme="minorHAnsi"/>
          <w:bCs/>
          <w:color w:val="000000"/>
          <w:sz w:val="22"/>
          <w:szCs w:val="22"/>
        </w:rPr>
        <w:t>) je osob</w:t>
      </w:r>
      <w:r w:rsidR="0007563D" w:rsidRPr="00B80C24">
        <w:rPr>
          <w:rFonts w:asciiTheme="minorHAnsi" w:hAnsiTheme="minorHAnsi" w:cstheme="minorHAnsi"/>
          <w:bCs/>
          <w:color w:val="000000"/>
          <w:sz w:val="22"/>
          <w:szCs w:val="22"/>
        </w:rPr>
        <w:t>o</w:t>
      </w:r>
      <w:r w:rsidRPr="00B80C24">
        <w:rPr>
          <w:rFonts w:asciiTheme="minorHAnsi" w:hAnsiTheme="minorHAnsi" w:cstheme="minorHAnsi"/>
          <w:bCs/>
          <w:color w:val="000000"/>
          <w:sz w:val="22"/>
          <w:szCs w:val="22"/>
        </w:rPr>
        <w:t xml:space="preserve">u zúčastněnou na přeměně, a to přeshraniční fúze sloučením, kdy druhou zúčastněnou společností je společnost </w:t>
      </w:r>
      <w:r w:rsidR="005B7799" w:rsidRPr="00B80C24">
        <w:rPr>
          <w:rFonts w:asciiTheme="minorHAnsi" w:hAnsiTheme="minorHAnsi" w:cstheme="minorHAnsi"/>
          <w:b/>
          <w:sz w:val="22"/>
          <w:szCs w:val="22"/>
        </w:rPr>
        <w:t>Alpine</w:t>
      </w:r>
      <w:r w:rsidR="005B7799" w:rsidRPr="00B80C24">
        <w:rPr>
          <w:rFonts w:asciiTheme="minorHAnsi" w:hAnsiTheme="minorHAnsi" w:cstheme="minorHAnsi"/>
          <w:b/>
          <w:spacing w:val="-8"/>
          <w:sz w:val="22"/>
          <w:szCs w:val="22"/>
        </w:rPr>
        <w:t xml:space="preserve"> </w:t>
      </w:r>
      <w:r w:rsidR="005B7799" w:rsidRPr="00B80C24">
        <w:rPr>
          <w:rFonts w:asciiTheme="minorHAnsi" w:hAnsiTheme="minorHAnsi" w:cstheme="minorHAnsi"/>
          <w:b/>
          <w:sz w:val="22"/>
          <w:szCs w:val="22"/>
        </w:rPr>
        <w:t>Capital</w:t>
      </w:r>
      <w:r w:rsidR="005B7799" w:rsidRPr="00B80C24">
        <w:rPr>
          <w:rFonts w:asciiTheme="minorHAnsi" w:hAnsiTheme="minorHAnsi" w:cstheme="minorHAnsi"/>
          <w:b/>
          <w:spacing w:val="-7"/>
          <w:sz w:val="22"/>
          <w:szCs w:val="22"/>
        </w:rPr>
        <w:t xml:space="preserve"> </w:t>
      </w:r>
      <w:r w:rsidR="005B7799" w:rsidRPr="00B80C24">
        <w:rPr>
          <w:rFonts w:asciiTheme="minorHAnsi" w:hAnsiTheme="minorHAnsi" w:cstheme="minorHAnsi"/>
          <w:b/>
          <w:sz w:val="22"/>
          <w:szCs w:val="22"/>
        </w:rPr>
        <w:t>Italy</w:t>
      </w:r>
      <w:r w:rsidR="005B7799" w:rsidRPr="00B80C24">
        <w:rPr>
          <w:rFonts w:asciiTheme="minorHAnsi" w:hAnsiTheme="minorHAnsi" w:cstheme="minorHAnsi"/>
          <w:b/>
          <w:spacing w:val="-5"/>
          <w:sz w:val="22"/>
          <w:szCs w:val="22"/>
        </w:rPr>
        <w:t xml:space="preserve"> </w:t>
      </w:r>
      <w:r w:rsidR="005B7799" w:rsidRPr="00B80C24">
        <w:rPr>
          <w:rFonts w:asciiTheme="minorHAnsi" w:hAnsiTheme="minorHAnsi" w:cstheme="minorHAnsi"/>
          <w:b/>
          <w:spacing w:val="-2"/>
          <w:sz w:val="22"/>
          <w:szCs w:val="22"/>
        </w:rPr>
        <w:t>S.r.l.</w:t>
      </w:r>
      <w:r w:rsidR="005B7799" w:rsidRPr="00B80C24">
        <w:rPr>
          <w:rFonts w:asciiTheme="minorHAnsi" w:hAnsiTheme="minorHAnsi" w:cstheme="minorHAnsi"/>
          <w:sz w:val="22"/>
          <w:szCs w:val="22"/>
        </w:rPr>
        <w:t xml:space="preserve">, společnost s ručením omezeným založená podle práva Italské republiky </w:t>
      </w:r>
      <w:r w:rsidR="005B7799" w:rsidRPr="00B80C24">
        <w:rPr>
          <w:rFonts w:asciiTheme="minorHAnsi" w:hAnsiTheme="minorHAnsi" w:cstheme="minorHAnsi"/>
          <w:i/>
          <w:sz w:val="22"/>
          <w:szCs w:val="22"/>
        </w:rPr>
        <w:t>(Società a responsabilità limitata - S.r.l</w:t>
      </w:r>
      <w:r w:rsidR="005B7799" w:rsidRPr="00B80C24">
        <w:rPr>
          <w:rFonts w:asciiTheme="minorHAnsi" w:hAnsiTheme="minorHAnsi" w:cstheme="minorHAnsi"/>
          <w:sz w:val="22"/>
          <w:szCs w:val="22"/>
        </w:rPr>
        <w:t xml:space="preserve">.) se sídlem v Miláně, Via Enrico Tazzoli 11, Itálie, zapsaná v řádném oddíle obchodního rejstříku Milán Monza Brianza Lodi pod číslem </w:t>
      </w:r>
      <w:r w:rsidR="005B7799" w:rsidRPr="00B80C24">
        <w:rPr>
          <w:rFonts w:asciiTheme="minorHAnsi" w:hAnsiTheme="minorHAnsi" w:cstheme="minorHAnsi"/>
          <w:spacing w:val="-2"/>
          <w:sz w:val="22"/>
          <w:szCs w:val="22"/>
        </w:rPr>
        <w:t>12627230969</w:t>
      </w:r>
      <w:r w:rsidRPr="00B80C24">
        <w:rPr>
          <w:rFonts w:asciiTheme="minorHAnsi" w:hAnsiTheme="minorHAnsi" w:cstheme="minorHAnsi"/>
          <w:bCs/>
          <w:color w:val="000000"/>
          <w:sz w:val="22"/>
          <w:szCs w:val="22"/>
        </w:rPr>
        <w:t xml:space="preserve"> </w:t>
      </w:r>
      <w:r w:rsidRPr="00B80C24">
        <w:rPr>
          <w:rFonts w:asciiTheme="minorHAnsi" w:hAnsiTheme="minorHAnsi" w:cstheme="minorHAnsi"/>
          <w:color w:val="000000"/>
          <w:sz w:val="22"/>
          <w:szCs w:val="22"/>
        </w:rPr>
        <w:t>(dále jen „</w:t>
      </w:r>
      <w:r w:rsidRPr="00B80C24">
        <w:rPr>
          <w:rFonts w:asciiTheme="minorHAnsi" w:hAnsiTheme="minorHAnsi" w:cstheme="minorHAnsi"/>
          <w:b/>
          <w:color w:val="000000"/>
          <w:sz w:val="22"/>
          <w:szCs w:val="22"/>
        </w:rPr>
        <w:t>Zanikající společnost</w:t>
      </w:r>
      <w:r w:rsidRPr="00B80C24">
        <w:rPr>
          <w:rFonts w:asciiTheme="minorHAnsi" w:hAnsiTheme="minorHAnsi" w:cstheme="minorHAnsi"/>
          <w:color w:val="000000"/>
          <w:sz w:val="22"/>
          <w:szCs w:val="22"/>
        </w:rPr>
        <w:t>“)</w:t>
      </w:r>
      <w:r w:rsidRPr="00B80C24">
        <w:rPr>
          <w:rFonts w:asciiTheme="minorHAnsi" w:hAnsiTheme="minorHAnsi" w:cstheme="minorHAnsi"/>
          <w:bCs/>
          <w:color w:val="000000"/>
          <w:sz w:val="22"/>
          <w:szCs w:val="22"/>
        </w:rPr>
        <w:t>, která se přeměny účastní jako společnost zanikající. V rámci přeshraniční fúze sloučením Zanikající společnost zanikne a její jmění přejde na Nástupnickou společnost.</w:t>
      </w:r>
    </w:p>
    <w:p w14:paraId="242AE6F5" w14:textId="77777777" w:rsidR="00966B43" w:rsidRPr="00B80C24" w:rsidRDefault="00966B43" w:rsidP="008F2AAD">
      <w:pPr>
        <w:pStyle w:val="FormtovanvHTML"/>
        <w:jc w:val="both"/>
        <w:rPr>
          <w:rFonts w:asciiTheme="minorHAnsi" w:hAnsiTheme="minorHAnsi" w:cstheme="minorHAnsi"/>
          <w:bCs/>
          <w:color w:val="000000"/>
          <w:sz w:val="22"/>
          <w:szCs w:val="22"/>
        </w:rPr>
      </w:pPr>
    </w:p>
    <w:p w14:paraId="76E54E5A" w14:textId="19516BFF" w:rsidR="00966B43" w:rsidRPr="00B80C24" w:rsidRDefault="00966B43" w:rsidP="00966B43">
      <w:pPr>
        <w:pStyle w:val="FormtovanvHTML"/>
        <w:jc w:val="both"/>
        <w:rPr>
          <w:rFonts w:asciiTheme="minorHAnsi" w:hAnsiTheme="minorHAnsi" w:cstheme="minorHAnsi"/>
          <w:color w:val="000000"/>
          <w:sz w:val="22"/>
          <w:szCs w:val="22"/>
        </w:rPr>
      </w:pPr>
      <w:r w:rsidRPr="00B80C24">
        <w:rPr>
          <w:rFonts w:asciiTheme="minorHAnsi" w:hAnsiTheme="minorHAnsi" w:cstheme="minorHAnsi"/>
          <w:bCs/>
          <w:sz w:val="22"/>
          <w:szCs w:val="22"/>
        </w:rPr>
        <w:t xml:space="preserve">Zanikající a Nástupnická společnost, </w:t>
      </w:r>
      <w:r w:rsidRPr="00B80C24">
        <w:rPr>
          <w:rFonts w:asciiTheme="minorHAnsi" w:hAnsiTheme="minorHAnsi" w:cstheme="minorHAnsi"/>
          <w:sz w:val="22"/>
          <w:szCs w:val="22"/>
        </w:rPr>
        <w:t>jako osoby zúčastněné na přeshraniční přeměně, jsou dále v textu společně označovány také jako „</w:t>
      </w:r>
      <w:r w:rsidRPr="00B80C24">
        <w:rPr>
          <w:rFonts w:asciiTheme="minorHAnsi" w:hAnsiTheme="minorHAnsi" w:cstheme="minorHAnsi"/>
          <w:b/>
          <w:sz w:val="22"/>
          <w:szCs w:val="22"/>
        </w:rPr>
        <w:t>Zúčastněné společnosti</w:t>
      </w:r>
      <w:r w:rsidRPr="00B80C24">
        <w:rPr>
          <w:rFonts w:asciiTheme="minorHAnsi" w:hAnsiTheme="minorHAnsi" w:cstheme="minorHAnsi"/>
          <w:sz w:val="22"/>
          <w:szCs w:val="22"/>
        </w:rPr>
        <w:t>“).</w:t>
      </w:r>
    </w:p>
    <w:p w14:paraId="4917E00F" w14:textId="77777777" w:rsidR="008F2AAD" w:rsidRPr="00B80C24" w:rsidRDefault="008F2AAD" w:rsidP="008F2AAD">
      <w:pPr>
        <w:pStyle w:val="FormtovanvHTML"/>
        <w:jc w:val="both"/>
        <w:rPr>
          <w:rFonts w:asciiTheme="minorHAnsi" w:hAnsiTheme="minorHAnsi" w:cstheme="minorHAnsi"/>
          <w:color w:val="000000"/>
          <w:sz w:val="22"/>
          <w:szCs w:val="22"/>
        </w:rPr>
      </w:pPr>
    </w:p>
    <w:p w14:paraId="33FB7CE3" w14:textId="1217572E" w:rsidR="008F2AAD" w:rsidRPr="00B80C24" w:rsidRDefault="00966B43"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r w:rsidRPr="00B80C24">
        <w:rPr>
          <w:rFonts w:asciiTheme="minorHAnsi" w:hAnsiTheme="minorHAnsi" w:cstheme="minorHAnsi"/>
          <w:color w:val="000000"/>
          <w:sz w:val="22"/>
          <w:szCs w:val="22"/>
        </w:rPr>
        <w:t xml:space="preserve">Společnost </w:t>
      </w:r>
      <w:r w:rsidR="005B7799" w:rsidRPr="00B80C24">
        <w:rPr>
          <w:rFonts w:asciiTheme="minorHAnsi" w:hAnsiTheme="minorHAnsi" w:cstheme="minorHAnsi"/>
          <w:b/>
          <w:sz w:val="22"/>
          <w:szCs w:val="22"/>
          <w:shd w:val="clear" w:color="auto" w:fill="FFFFFF"/>
        </w:rPr>
        <w:t xml:space="preserve">Alpine Capital Investment a.s. </w:t>
      </w:r>
      <w:r w:rsidR="008F2AAD" w:rsidRPr="00B80C24">
        <w:rPr>
          <w:rFonts w:asciiTheme="minorHAnsi" w:hAnsiTheme="minorHAnsi" w:cstheme="minorHAnsi"/>
          <w:color w:val="000000"/>
          <w:sz w:val="22"/>
          <w:szCs w:val="22"/>
        </w:rPr>
        <w:t>tímto v souladu s § 33 odst. 1 písm. b)</w:t>
      </w:r>
      <w:r w:rsidRPr="00B80C24">
        <w:rPr>
          <w:rFonts w:asciiTheme="minorHAnsi" w:hAnsiTheme="minorHAnsi" w:cstheme="minorHAnsi"/>
          <w:color w:val="000000"/>
          <w:sz w:val="22"/>
          <w:szCs w:val="22"/>
        </w:rPr>
        <w:t>, § 59l</w:t>
      </w:r>
      <w:r w:rsidR="008F2AAD" w:rsidRPr="00B80C24">
        <w:rPr>
          <w:rFonts w:asciiTheme="minorHAnsi" w:hAnsiTheme="minorHAnsi" w:cstheme="minorHAnsi"/>
          <w:color w:val="000000"/>
          <w:sz w:val="22"/>
          <w:szCs w:val="22"/>
        </w:rPr>
        <w:t xml:space="preserve"> a § 118 zákona č. 125/2008 Sb., o přeměnách obchodních společností a družstev, v platném znění (dále jen „zákon o přeměnách“), zveřejňuj</w:t>
      </w:r>
      <w:r w:rsidR="005B7799" w:rsidRPr="00B80C24">
        <w:rPr>
          <w:rFonts w:asciiTheme="minorHAnsi" w:hAnsiTheme="minorHAnsi" w:cstheme="minorHAnsi"/>
          <w:color w:val="000000"/>
          <w:sz w:val="22"/>
          <w:szCs w:val="22"/>
        </w:rPr>
        <w:t>e</w:t>
      </w:r>
      <w:r w:rsidR="008F2AAD" w:rsidRPr="00B80C24">
        <w:rPr>
          <w:rFonts w:asciiTheme="minorHAnsi" w:hAnsiTheme="minorHAnsi" w:cstheme="minorHAnsi"/>
          <w:color w:val="000000"/>
          <w:sz w:val="22"/>
          <w:szCs w:val="22"/>
        </w:rPr>
        <w:t>:</w:t>
      </w:r>
    </w:p>
    <w:p w14:paraId="51F2D759" w14:textId="77777777" w:rsidR="008F2AAD" w:rsidRPr="00B80C24"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4B1DEEB4"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B80C24">
        <w:rPr>
          <w:rFonts w:ascii="Calibri" w:hAnsi="Calibri" w:cs="Calibri"/>
          <w:b/>
          <w:color w:val="000000"/>
          <w:sz w:val="22"/>
          <w:szCs w:val="22"/>
        </w:rPr>
        <w:t>I.</w:t>
      </w:r>
    </w:p>
    <w:p w14:paraId="565B5BD0"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B80C24">
        <w:rPr>
          <w:rFonts w:ascii="Calibri" w:hAnsi="Calibri" w:cs="Calibri"/>
          <w:b/>
          <w:color w:val="000000"/>
          <w:sz w:val="22"/>
          <w:szCs w:val="22"/>
        </w:rPr>
        <w:t>Upozornění pro věřitele</w:t>
      </w:r>
    </w:p>
    <w:p w14:paraId="26CD3016" w14:textId="77777777" w:rsidR="00EF0E8B" w:rsidRPr="00B80C24" w:rsidRDefault="00EF0E8B" w:rsidP="00EF0E8B">
      <w:pPr>
        <w:pStyle w:val="FormtovanvHTML"/>
        <w:jc w:val="both"/>
        <w:rPr>
          <w:rFonts w:ascii="Calibri" w:hAnsi="Calibri" w:cs="Calibri"/>
          <w:b/>
          <w:bCs/>
          <w:color w:val="000000"/>
          <w:sz w:val="22"/>
          <w:szCs w:val="22"/>
        </w:rPr>
      </w:pPr>
      <w:r w:rsidRPr="00B80C24">
        <w:rPr>
          <w:rFonts w:ascii="Calibri" w:hAnsi="Calibri" w:cs="Calibri"/>
          <w:b/>
          <w:bCs/>
          <w:color w:val="000000"/>
          <w:sz w:val="22"/>
          <w:szCs w:val="22"/>
        </w:rPr>
        <w:t xml:space="preserve">Česká osoba zúčastněná na přeshraniční přeměně upozorňuje věřitele na jejich práva podle § 35 až § 39 zákona o přeměnách.  </w:t>
      </w:r>
    </w:p>
    <w:p w14:paraId="28BA740A" w14:textId="77777777" w:rsidR="00EF0E8B" w:rsidRPr="00B80C24" w:rsidRDefault="00EF0E8B" w:rsidP="00EF0E8B">
      <w:pPr>
        <w:pStyle w:val="FormtovanvHTML"/>
        <w:jc w:val="both"/>
        <w:rPr>
          <w:rFonts w:ascii="Calibri" w:hAnsi="Calibri" w:cs="Calibri"/>
          <w:color w:val="000000"/>
          <w:sz w:val="22"/>
          <w:szCs w:val="22"/>
        </w:rPr>
      </w:pPr>
    </w:p>
    <w:p w14:paraId="14027861" w14:textId="77777777" w:rsidR="00EF0E8B" w:rsidRPr="00B80C24" w:rsidRDefault="00EF0E8B" w:rsidP="00EF0E8B">
      <w:pPr>
        <w:pStyle w:val="FormtovanvHTML"/>
        <w:jc w:val="both"/>
        <w:rPr>
          <w:rFonts w:ascii="Calibri" w:hAnsi="Calibri" w:cs="Calibri"/>
          <w:color w:val="000000"/>
          <w:sz w:val="22"/>
          <w:szCs w:val="22"/>
        </w:rPr>
      </w:pPr>
      <w:r w:rsidRPr="00B80C24">
        <w:rPr>
          <w:rFonts w:ascii="Calibri" w:hAnsi="Calibri" w:cs="Calibri"/>
          <w:color w:val="000000"/>
          <w:sz w:val="22"/>
          <w:szCs w:val="22"/>
        </w:rPr>
        <w:t>Věřitelé české osoby zúčastněné na přeshraniční přeměně</w:t>
      </w:r>
      <w:r w:rsidRPr="00B80C24">
        <w:rPr>
          <w:rFonts w:ascii="Calibri" w:hAnsi="Calibri" w:cs="Calibri"/>
          <w:b/>
          <w:bCs/>
          <w:color w:val="000000"/>
          <w:sz w:val="22"/>
          <w:szCs w:val="22"/>
        </w:rPr>
        <w:t xml:space="preserve"> </w:t>
      </w:r>
      <w:r w:rsidRPr="00B80C24">
        <w:rPr>
          <w:rFonts w:ascii="Calibri" w:hAnsi="Calibri" w:cs="Calibri"/>
          <w:color w:val="000000"/>
          <w:sz w:val="22"/>
          <w:szCs w:val="22"/>
        </w:rPr>
        <w:t>mohou požadovat poskytnutí dostatečného zajištění, jestliže se v důsledku přeměny zhorší dobytnost jejich dosud nesplatných pohledávek ze závazků vzniklých před zveřejněním projektu přeměny (založením do sbírky listin české osoby zúčastněné na přeshraniční přeměně); to platí obdobně i pro pohledávky budoucí nebo podmíněné.</w:t>
      </w:r>
    </w:p>
    <w:p w14:paraId="3DD0E56C" w14:textId="77777777" w:rsidR="00EF0E8B" w:rsidRPr="00B80C24" w:rsidRDefault="00EF0E8B" w:rsidP="00EF0E8B">
      <w:pPr>
        <w:pStyle w:val="FormtovanvHTML"/>
        <w:jc w:val="both"/>
        <w:rPr>
          <w:rFonts w:ascii="Calibri" w:hAnsi="Calibri" w:cs="Calibri"/>
          <w:color w:val="000000"/>
          <w:sz w:val="22"/>
          <w:szCs w:val="22"/>
        </w:rPr>
      </w:pPr>
      <w:r w:rsidRPr="00B80C24">
        <w:rPr>
          <w:rFonts w:ascii="Calibri" w:hAnsi="Calibri" w:cs="Calibri"/>
          <w:color w:val="000000"/>
          <w:sz w:val="22"/>
          <w:szCs w:val="22"/>
        </w:rPr>
        <w:t>Nedojde-li mezi věřitelem a českou osobou zúčastněnou na přeshraniční přeměně</w:t>
      </w:r>
      <w:r w:rsidRPr="00B80C24">
        <w:rPr>
          <w:rFonts w:ascii="Calibri" w:hAnsi="Calibri" w:cs="Calibri"/>
          <w:b/>
          <w:bCs/>
          <w:color w:val="000000"/>
          <w:sz w:val="22"/>
          <w:szCs w:val="22"/>
        </w:rPr>
        <w:t xml:space="preserve"> </w:t>
      </w:r>
      <w:r w:rsidRPr="00B80C24">
        <w:rPr>
          <w:rFonts w:ascii="Calibri" w:hAnsi="Calibri" w:cs="Calibri"/>
          <w:color w:val="000000"/>
          <w:sz w:val="22"/>
          <w:szCs w:val="22"/>
        </w:rPr>
        <w:t>nebo Nástupnickou společností k dohodě o způsobu zajištění pohledávky, zřídí dostatečné zajištění soud na návrh věřitele, který osvědčí skutečnosti nasvědčující tomu, že přeměna zhorší dobytnost jeho pohledávky. Soud zřídí dostatečné zajištění podle slušného uvážení s ohledem na druh a výši pohledávky.</w:t>
      </w:r>
    </w:p>
    <w:p w14:paraId="11FE4551" w14:textId="77777777" w:rsidR="00EF0E8B" w:rsidRPr="00B80C24" w:rsidRDefault="00EF0E8B" w:rsidP="00EF0E8B">
      <w:pPr>
        <w:pStyle w:val="FormtovanvHTML"/>
        <w:jc w:val="both"/>
        <w:rPr>
          <w:rFonts w:ascii="Calibri" w:hAnsi="Calibri" w:cs="Calibri"/>
          <w:color w:val="000000"/>
          <w:sz w:val="22"/>
          <w:szCs w:val="22"/>
        </w:rPr>
      </w:pPr>
      <w:r w:rsidRPr="00B80C24">
        <w:rPr>
          <w:rFonts w:ascii="Calibri" w:hAnsi="Calibri" w:cs="Calibri"/>
          <w:color w:val="000000"/>
          <w:sz w:val="22"/>
          <w:szCs w:val="22"/>
        </w:rPr>
        <w:t>O zřízení dostatečného zajištění rozhodne soud usnesením. Účinky zajištění nastávají nejdříve dnem, kdy se stal zápis přeměny do obchodního rejstříku účinným vůči třetím osobám.</w:t>
      </w:r>
    </w:p>
    <w:p w14:paraId="62B5E92C" w14:textId="77777777" w:rsidR="00EF0E8B" w:rsidRPr="00B80C24" w:rsidRDefault="00EF0E8B" w:rsidP="00EF0E8B">
      <w:pPr>
        <w:pStyle w:val="FormtovanvHTML"/>
        <w:jc w:val="both"/>
        <w:rPr>
          <w:rFonts w:ascii="Calibri" w:hAnsi="Calibri" w:cs="Calibri"/>
          <w:color w:val="000000"/>
          <w:sz w:val="22"/>
          <w:szCs w:val="22"/>
        </w:rPr>
      </w:pPr>
      <w:r w:rsidRPr="00B80C24">
        <w:rPr>
          <w:rFonts w:ascii="Calibri" w:hAnsi="Calibri" w:cs="Calibri"/>
          <w:color w:val="000000"/>
          <w:sz w:val="22"/>
          <w:szCs w:val="22"/>
        </w:rPr>
        <w:t xml:space="preserve">Právo na dostatečné zajištění musí být uplatněno u soudu do 3 měsíců ode dne zveřejnění projektu přeměny založením do sbírky listin české osoby zúčastněné na přeshraniční přeměně, jinak zaniká. Podání návrhu nebrání zápisu přeměny do obchodního rejstříku. </w:t>
      </w:r>
    </w:p>
    <w:p w14:paraId="77BF3863" w14:textId="77777777" w:rsidR="00EF0E8B" w:rsidRPr="00B80C24" w:rsidRDefault="00EF0E8B" w:rsidP="00EF0E8B">
      <w:pPr>
        <w:pStyle w:val="FormtovanvHTML"/>
        <w:jc w:val="both"/>
        <w:rPr>
          <w:rFonts w:ascii="Calibri" w:hAnsi="Calibri" w:cs="Calibri"/>
          <w:color w:val="000000"/>
          <w:sz w:val="22"/>
          <w:szCs w:val="22"/>
        </w:rPr>
      </w:pPr>
    </w:p>
    <w:p w14:paraId="7DE33462"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Právo na poskytnutí dostatečného zajištění nemají věřitelé, kteří mají právo na přednostní uspokojení svých pohledávek v insolvenčním řízení nebo kteří se pro účely insolvenčního řízení považují za zajištěné věřitele nebo jejichž pohledávky vznikly až po zápisu fúze sloučením do obchodního rejstříku.</w:t>
      </w:r>
    </w:p>
    <w:p w14:paraId="105D8EB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7038A060" w14:textId="77777777" w:rsidR="00EF0E8B" w:rsidRPr="00B80C24" w:rsidRDefault="00EF0E8B" w:rsidP="00EF0E8B">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alibri" w:hAnsi="Calibri" w:cs="Calibri"/>
          <w:color w:val="000000"/>
          <w:sz w:val="22"/>
          <w:szCs w:val="22"/>
        </w:rPr>
      </w:pPr>
      <w:r w:rsidRPr="00B80C24">
        <w:rPr>
          <w:rFonts w:ascii="Calibri" w:hAnsi="Calibri" w:cs="Calibri"/>
          <w:color w:val="000000"/>
          <w:sz w:val="22"/>
          <w:szCs w:val="22"/>
        </w:rPr>
        <w:t>Česká osoba zúčastněná na přeshraniční přeměně</w:t>
      </w:r>
      <w:r w:rsidRPr="00B80C24">
        <w:rPr>
          <w:rFonts w:ascii="Calibri" w:hAnsi="Calibri" w:cs="Calibri"/>
          <w:b/>
          <w:bCs/>
          <w:color w:val="000000"/>
          <w:sz w:val="22"/>
          <w:szCs w:val="22"/>
        </w:rPr>
        <w:t xml:space="preserve"> </w:t>
      </w:r>
      <w:r w:rsidRPr="00B80C24">
        <w:rPr>
          <w:rFonts w:ascii="Calibri" w:hAnsi="Calibri" w:cs="Calibri"/>
          <w:color w:val="000000"/>
          <w:sz w:val="22"/>
          <w:szCs w:val="22"/>
        </w:rPr>
        <w:t xml:space="preserve">nevydala žádné dluhopisy ani jiné cenné papíry než akcie, s nimiž by byla spojena zvláštní práva. </w:t>
      </w:r>
    </w:p>
    <w:p w14:paraId="476D6EE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4C452AE0"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Povinnost splatit vklad a emisní kurs akcií není přeshraniční fúzí sloučením dotčena.</w:t>
      </w:r>
    </w:p>
    <w:p w14:paraId="148AB6B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2890F83B"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B80C24">
        <w:rPr>
          <w:rFonts w:ascii="Calibri" w:hAnsi="Calibri" w:cs="Calibri"/>
          <w:b/>
          <w:color w:val="000000"/>
          <w:sz w:val="22"/>
          <w:szCs w:val="22"/>
        </w:rPr>
        <w:t>II.</w:t>
      </w:r>
    </w:p>
    <w:p w14:paraId="5C8FB02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B80C24">
        <w:rPr>
          <w:rFonts w:ascii="Calibri" w:hAnsi="Calibri" w:cs="Calibri"/>
          <w:b/>
          <w:color w:val="000000"/>
          <w:sz w:val="22"/>
          <w:szCs w:val="22"/>
        </w:rPr>
        <w:t>Upozornění pro akcionáře</w:t>
      </w:r>
    </w:p>
    <w:p w14:paraId="6567B17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lastRenderedPageBreak/>
        <w:t>Česká osoba zúčastněná na přeshraniční přeměně upozorňuje své akcionáře, že v souladu s ustanovením § 119 zákona o přeměnách jim příslušejí tato práva:</w:t>
      </w:r>
    </w:p>
    <w:p w14:paraId="560FE60A"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3AF8F63C" w14:textId="4AE3C33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V sídle české osoby zúčastněné na přeshraniční přeměně</w:t>
      </w:r>
      <w:r w:rsidRPr="00B80C24">
        <w:rPr>
          <w:rFonts w:ascii="Calibri" w:hAnsi="Calibri" w:cs="Calibri"/>
          <w:b/>
          <w:bCs/>
          <w:color w:val="000000"/>
          <w:sz w:val="22"/>
          <w:szCs w:val="22"/>
        </w:rPr>
        <w:t xml:space="preserve"> </w:t>
      </w:r>
      <w:r w:rsidRPr="00B80C24">
        <w:rPr>
          <w:rFonts w:ascii="Calibri" w:hAnsi="Calibri" w:cs="Calibri"/>
          <w:color w:val="000000"/>
          <w:sz w:val="22"/>
          <w:szCs w:val="22"/>
        </w:rPr>
        <w:t>jsou od</w:t>
      </w:r>
      <w:r w:rsidR="009D77D7" w:rsidRPr="00B80C24">
        <w:rPr>
          <w:rFonts w:ascii="Calibri" w:hAnsi="Calibri" w:cs="Calibri"/>
          <w:color w:val="000000"/>
          <w:sz w:val="22"/>
          <w:szCs w:val="22"/>
        </w:rPr>
        <w:t xml:space="preserve"> 1.10.2024 (</w:t>
      </w:r>
      <w:r w:rsidRPr="00B80C24">
        <w:rPr>
          <w:rFonts w:ascii="Calibri" w:hAnsi="Calibri" w:cs="Calibri"/>
          <w:color w:val="000000"/>
          <w:sz w:val="22"/>
          <w:szCs w:val="22"/>
        </w:rPr>
        <w:t>tedy více než 1 měsíc před zápisem přeshraniční fúze do obchodního rejstříku) každý pracovní den v době od 9.00 do 17.00 hod k nahlédnutí pro akcionáře:</w:t>
      </w:r>
    </w:p>
    <w:p w14:paraId="7C0B252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529D1C5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r w:rsidRPr="00B80C24">
        <w:rPr>
          <w:rFonts w:asciiTheme="minorHAnsi" w:hAnsiTheme="minorHAnsi" w:cstheme="minorHAnsi"/>
          <w:color w:val="000000"/>
          <w:sz w:val="22"/>
          <w:szCs w:val="22"/>
        </w:rPr>
        <w:t>a) projekt přeshraniční fúze sloučením,</w:t>
      </w:r>
    </w:p>
    <w:p w14:paraId="7055010E"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r w:rsidRPr="00B80C24">
        <w:rPr>
          <w:rFonts w:asciiTheme="minorHAnsi" w:hAnsiTheme="minorHAnsi" w:cstheme="minorHAnsi"/>
          <w:color w:val="000000"/>
          <w:sz w:val="22"/>
          <w:szCs w:val="22"/>
        </w:rPr>
        <w:t>b) účetní závěrky Zúčastněných společností za poslední 3 účetní období (pokud Zúčastněná společnost po tuto dobu trvá), a zprávy auditora o jejich ověření, je-li to relevantní</w:t>
      </w:r>
    </w:p>
    <w:p w14:paraId="081672EC" w14:textId="22C6D403"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r w:rsidRPr="00B80C24">
        <w:rPr>
          <w:rFonts w:asciiTheme="minorHAnsi" w:hAnsiTheme="minorHAnsi" w:cstheme="minorHAnsi"/>
          <w:color w:val="000000"/>
          <w:sz w:val="22"/>
          <w:szCs w:val="22"/>
        </w:rPr>
        <w:t xml:space="preserve">c) </w:t>
      </w:r>
      <w:r w:rsidR="009D77D7" w:rsidRPr="00B80C24">
        <w:rPr>
          <w:rFonts w:asciiTheme="minorHAnsi" w:hAnsiTheme="minorHAnsi" w:cstheme="minorHAnsi"/>
          <w:sz w:val="22"/>
          <w:szCs w:val="22"/>
        </w:rPr>
        <w:t xml:space="preserve">Účetní závěrky, které </w:t>
      </w:r>
      <w:r w:rsidR="009D77D7" w:rsidRPr="00B80C24">
        <w:rPr>
          <w:rFonts w:asciiTheme="minorHAnsi" w:hAnsiTheme="minorHAnsi" w:cstheme="minorHAnsi"/>
          <w:color w:val="000000"/>
          <w:sz w:val="22"/>
          <w:szCs w:val="22"/>
        </w:rPr>
        <w:t>Zúčastněné společnosti</w:t>
      </w:r>
      <w:r w:rsidR="009D77D7" w:rsidRPr="00B80C24">
        <w:rPr>
          <w:rFonts w:asciiTheme="minorHAnsi" w:hAnsiTheme="minorHAnsi" w:cstheme="minorHAnsi"/>
          <w:sz w:val="22"/>
          <w:szCs w:val="22"/>
        </w:rPr>
        <w:t xml:space="preserve"> použily k určení podmínek fúze, sestavené ke dni 30. června 2024</w:t>
      </w:r>
    </w:p>
    <w:p w14:paraId="4A2815B4" w14:textId="401061E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r w:rsidRPr="00B80C24">
        <w:rPr>
          <w:rFonts w:asciiTheme="minorHAnsi" w:hAnsiTheme="minorHAnsi" w:cstheme="minorHAnsi"/>
          <w:color w:val="000000"/>
          <w:sz w:val="22"/>
          <w:szCs w:val="22"/>
        </w:rPr>
        <w:t>f) zpráva o přeshraniční fúzi, je-li vyžadována</w:t>
      </w:r>
    </w:p>
    <w:p w14:paraId="10B9746A"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35B3B21E" w14:textId="6FAB2D5C"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Česká osoba zúčastněná na přeshraniční přeměně</w:t>
      </w:r>
      <w:r w:rsidRPr="00B80C24">
        <w:rPr>
          <w:rFonts w:ascii="Calibri" w:hAnsi="Calibri" w:cs="Calibri"/>
          <w:b/>
          <w:bCs/>
          <w:color w:val="000000"/>
          <w:sz w:val="22"/>
          <w:szCs w:val="22"/>
        </w:rPr>
        <w:t xml:space="preserve"> </w:t>
      </w:r>
      <w:r w:rsidRPr="00B80C24">
        <w:rPr>
          <w:rFonts w:ascii="Calibri" w:hAnsi="Calibri" w:cs="Calibri"/>
          <w:color w:val="000000"/>
          <w:sz w:val="22"/>
          <w:szCs w:val="22"/>
        </w:rPr>
        <w:t xml:space="preserve">vydá každému akcionáři, který o to požádá, bez zbytečného odkladu bezplatně opis nebo výpis z listin uvedených výše </w:t>
      </w:r>
      <w:r w:rsidR="009D77D7" w:rsidRPr="00B80C24">
        <w:rPr>
          <w:rFonts w:ascii="Calibri" w:hAnsi="Calibri" w:cs="Calibri"/>
          <w:color w:val="000000"/>
          <w:sz w:val="22"/>
          <w:szCs w:val="22"/>
        </w:rPr>
        <w:t>v tomto bodě II.</w:t>
      </w:r>
    </w:p>
    <w:p w14:paraId="49C4F7C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24633137"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Česká osoba zúčastněná na přeshraniční přeměně upozorňuje své akcionáře, že v souladu s ustanovením § 34 zákona o přeměnách jim příslušejí tato práva:</w:t>
      </w:r>
    </w:p>
    <w:p w14:paraId="0C63D83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6D6B33AF"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Každý akcionář české osoby zúčastněné na přeshraniční přeměně, který o to požádá, má právo na informace, jež se týkají ostatních osob zúčastněných na přeměně, jsou-li důležité z hlediska přeměny, a to ode dne zveřejnění projektu přeměny (založením do sbírky listin české osoby zúčastněné na přeshraniční přeměně). Akcionáři české osoby zúčastněné na přeshraniční přeměně</w:t>
      </w:r>
      <w:r w:rsidRPr="00B80C24">
        <w:rPr>
          <w:rFonts w:ascii="Calibri" w:hAnsi="Calibri" w:cs="Calibri"/>
          <w:b/>
          <w:bCs/>
          <w:color w:val="000000"/>
          <w:sz w:val="22"/>
          <w:szCs w:val="22"/>
        </w:rPr>
        <w:t xml:space="preserve"> </w:t>
      </w:r>
      <w:r w:rsidRPr="00B80C24">
        <w:rPr>
          <w:rFonts w:ascii="Calibri" w:hAnsi="Calibri" w:cs="Calibri"/>
          <w:color w:val="000000"/>
          <w:sz w:val="22"/>
          <w:szCs w:val="22"/>
        </w:rPr>
        <w:t>mohou požadovat informace podle věty první jen na valné hromadě, která má schválit přeměnu.</w:t>
      </w:r>
    </w:p>
    <w:p w14:paraId="44AAC220"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Česká osoba zúčastněná na přeshraniční přeměně</w:t>
      </w:r>
      <w:r w:rsidRPr="00B80C24">
        <w:rPr>
          <w:rFonts w:ascii="Calibri" w:hAnsi="Calibri" w:cs="Calibri"/>
          <w:b/>
          <w:bCs/>
          <w:color w:val="000000"/>
          <w:sz w:val="22"/>
          <w:szCs w:val="22"/>
        </w:rPr>
        <w:t xml:space="preserve"> </w:t>
      </w:r>
      <w:r w:rsidRPr="00B80C24">
        <w:rPr>
          <w:rFonts w:ascii="Calibri" w:hAnsi="Calibri" w:cs="Calibri"/>
          <w:color w:val="000000"/>
          <w:sz w:val="22"/>
          <w:szCs w:val="22"/>
        </w:rPr>
        <w:t xml:space="preserve">informace neposkytne, pokud </w:t>
      </w:r>
      <w:r w:rsidRPr="00B80C24">
        <w:rPr>
          <w:rFonts w:ascii="Calibri" w:hAnsi="Calibri" w:cs="Calibri"/>
          <w:b/>
          <w:bCs/>
          <w:color w:val="000000"/>
          <w:sz w:val="22"/>
          <w:szCs w:val="22"/>
        </w:rPr>
        <w:t>(a)</w:t>
      </w:r>
      <w:r w:rsidRPr="00B80C24">
        <w:rPr>
          <w:rFonts w:ascii="Calibri" w:hAnsi="Calibri" w:cs="Calibri"/>
          <w:color w:val="000000"/>
          <w:sz w:val="22"/>
          <w:szCs w:val="22"/>
        </w:rPr>
        <w:t xml:space="preserve"> by poskytnutí těchto informací mohlo způsobit značnou újmu osobě zúčastněné na přeměně nebo jí ovládající nebo jí ovládané osobě, </w:t>
      </w:r>
      <w:r w:rsidRPr="00B80C24">
        <w:rPr>
          <w:rFonts w:ascii="Calibri" w:hAnsi="Calibri" w:cs="Calibri"/>
          <w:b/>
          <w:bCs/>
          <w:color w:val="000000"/>
          <w:sz w:val="22"/>
          <w:szCs w:val="22"/>
        </w:rPr>
        <w:t>(b)</w:t>
      </w:r>
      <w:r w:rsidRPr="00B80C24">
        <w:rPr>
          <w:rFonts w:ascii="Calibri" w:hAnsi="Calibri" w:cs="Calibri"/>
          <w:color w:val="000000"/>
          <w:sz w:val="22"/>
          <w:szCs w:val="22"/>
        </w:rPr>
        <w:t xml:space="preserve"> tyto informace tvoří předmět obchodního tajemství, nebo </w:t>
      </w:r>
      <w:r w:rsidRPr="00B80C24">
        <w:rPr>
          <w:rFonts w:ascii="Calibri" w:hAnsi="Calibri" w:cs="Calibri"/>
          <w:b/>
          <w:bCs/>
          <w:color w:val="000000"/>
          <w:sz w:val="22"/>
          <w:szCs w:val="22"/>
        </w:rPr>
        <w:t>(c)</w:t>
      </w:r>
      <w:r w:rsidRPr="00B80C24">
        <w:rPr>
          <w:rFonts w:ascii="Calibri" w:hAnsi="Calibri" w:cs="Calibri"/>
          <w:color w:val="000000"/>
          <w:sz w:val="22"/>
          <w:szCs w:val="22"/>
        </w:rPr>
        <w:t xml:space="preserve"> se jedná o utajovanou informaci podle zákona upravujícího utajované informace.</w:t>
      </w:r>
    </w:p>
    <w:p w14:paraId="65E621B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48A8260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Česká osoba zúčastněná na přeshraniční přeměně upozorňuje své akcionáře, že v souladu s ustanovením § 7 a násl. zákona o přeměnách jim příslušejí tato práva:</w:t>
      </w:r>
    </w:p>
    <w:p w14:paraId="75C7850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Akcionář české osoby zúčastněné na přeshraniční přeměně</w:t>
      </w:r>
      <w:r w:rsidRPr="00B80C24">
        <w:rPr>
          <w:rFonts w:ascii="Calibri" w:hAnsi="Calibri" w:cs="Calibri"/>
          <w:b/>
          <w:bCs/>
          <w:color w:val="000000"/>
          <w:sz w:val="22"/>
          <w:szCs w:val="22"/>
        </w:rPr>
        <w:t xml:space="preserve"> </w:t>
      </w:r>
      <w:r w:rsidRPr="00B80C24">
        <w:rPr>
          <w:rFonts w:ascii="Calibri" w:hAnsi="Calibri" w:cs="Calibri"/>
          <w:color w:val="000000"/>
          <w:sz w:val="22"/>
          <w:szCs w:val="22"/>
        </w:rPr>
        <w:t>se může vzdát svým prohlášením s úředně ověřeným podpisem nebo prohlášením učiněným na valné hromadě (kdy toto prohlášení bude uvedení v notářském zápisu o rozhodnutí valné hromady):</w:t>
      </w:r>
    </w:p>
    <w:p w14:paraId="02473703"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a) práva na dorovnání,</w:t>
      </w:r>
    </w:p>
    <w:p w14:paraId="01161D13"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b) práva na výměnu podílů při fúzi nebo rozdělení,</w:t>
      </w:r>
    </w:p>
    <w:p w14:paraId="4866111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c) práva na náhradu škody,</w:t>
      </w:r>
    </w:p>
    <w:p w14:paraId="0EAB3A48"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d) práva na odkup svých akcií při fúzi nebo rozdělení akciové společnosti,</w:t>
      </w:r>
    </w:p>
    <w:p w14:paraId="59E79E18"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e) práva podat návrh na určení neplatnosti projektu přeměny a návrh na vyslovení neplatnosti rozhodnutí o schválení přeměny,</w:t>
      </w:r>
    </w:p>
    <w:p w14:paraId="25A8D291" w14:textId="5FB65C7D" w:rsidR="00EF0E8B" w:rsidRPr="00B80C24" w:rsidRDefault="00DE0587"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f</w:t>
      </w:r>
      <w:r w:rsidR="00EF0E8B" w:rsidRPr="00B80C24">
        <w:rPr>
          <w:rFonts w:ascii="Calibri" w:hAnsi="Calibri" w:cs="Calibri"/>
          <w:color w:val="000000"/>
          <w:sz w:val="22"/>
          <w:szCs w:val="22"/>
        </w:rPr>
        <w:t xml:space="preserve">) jiných práv, a to i těch, která vzniknou v budoucnu, poskytuje-li mu je zákon </w:t>
      </w:r>
      <w:r w:rsidR="001A2917" w:rsidRPr="00B80C24">
        <w:rPr>
          <w:rFonts w:ascii="Calibri" w:hAnsi="Calibri" w:cs="Calibri"/>
          <w:color w:val="000000"/>
          <w:sz w:val="22"/>
          <w:szCs w:val="22"/>
        </w:rPr>
        <w:t xml:space="preserve">o přeměnách </w:t>
      </w:r>
      <w:r w:rsidR="00EF0E8B" w:rsidRPr="00B80C24">
        <w:rPr>
          <w:rFonts w:ascii="Calibri" w:hAnsi="Calibri" w:cs="Calibri"/>
          <w:color w:val="000000"/>
          <w:sz w:val="22"/>
          <w:szCs w:val="22"/>
        </w:rPr>
        <w:t xml:space="preserve">v souvislosti s přeměnou společnosti nebo družstva, pokud </w:t>
      </w:r>
      <w:bookmarkStart w:id="0" w:name="_Hlk174631065"/>
      <w:r w:rsidR="00EF0E8B" w:rsidRPr="00B80C24">
        <w:rPr>
          <w:rFonts w:ascii="Calibri" w:hAnsi="Calibri" w:cs="Calibri"/>
          <w:color w:val="000000"/>
          <w:sz w:val="22"/>
          <w:szCs w:val="22"/>
        </w:rPr>
        <w:t xml:space="preserve">zákon o přeměnách </w:t>
      </w:r>
      <w:bookmarkEnd w:id="0"/>
      <w:r w:rsidR="00EF0E8B" w:rsidRPr="00B80C24">
        <w:rPr>
          <w:rFonts w:ascii="Calibri" w:hAnsi="Calibri" w:cs="Calibri"/>
          <w:color w:val="000000"/>
          <w:sz w:val="22"/>
          <w:szCs w:val="22"/>
        </w:rPr>
        <w:t>nestanoví něco jiného.</w:t>
      </w:r>
    </w:p>
    <w:p w14:paraId="58A2C1F7"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 xml:space="preserve">Vzdá-li se akcionář práva na výměnu podílu, zaniká dnem zápisu fúze do obchodního rejstříku jeho účast v Zanikající společnosti bez práva na vypořádání a nevzniká mu účast na Nástupnické společnosti. </w:t>
      </w:r>
    </w:p>
    <w:p w14:paraId="76F810E5"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Vzdá-li se akcionář práva na výměnu podílu, k jeho účasti na Zanikající společnosti se při vyhotovení projektu přeshraniční fúze nepřihlíží ani pro účely stanovení výměnného poměru podílů. Vzdání se práva na výměnu podílů po vyhotovení projektu přeshraniční přeměny se zakazuje. Akcionář Zúčastněné společnosti se nemůže vzdát práva na výměnu podílu, pokud by v Nástupnické společnosti nezůstal alespoň 1 společník.</w:t>
      </w:r>
    </w:p>
    <w:p w14:paraId="25AD1E2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7D6B56E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lastRenderedPageBreak/>
        <w:t xml:space="preserve">Akcionář české osoby zúčastněné na přeshraniční přeměně může udělit souhlas svým prohlášením s úředně ověřeným podpisem nebo prohlášením učiněným na valné hromadě (kdy toto prohlášení bude uvedení v notářském zápisu o rozhodnutí valné hromady) s tím, že </w:t>
      </w:r>
      <w:r w:rsidRPr="00B80C24">
        <w:rPr>
          <w:rFonts w:ascii="Calibri" w:hAnsi="Calibri" w:cs="Calibri"/>
          <w:b/>
          <w:bCs/>
          <w:color w:val="000000"/>
          <w:sz w:val="22"/>
          <w:szCs w:val="22"/>
        </w:rPr>
        <w:t>(a)</w:t>
      </w:r>
      <w:r w:rsidRPr="00B80C24">
        <w:rPr>
          <w:rFonts w:ascii="Calibri" w:hAnsi="Calibri" w:cs="Calibri"/>
          <w:color w:val="000000"/>
          <w:sz w:val="22"/>
          <w:szCs w:val="22"/>
        </w:rPr>
        <w:t xml:space="preserve"> jakákoliv zpráva týkající se přeměny, vyžadovaná zákonem o přeměnách, nebude vypracována, ledaže jde o zprávu auditora o ověření účetní závěrky, </w:t>
      </w:r>
      <w:r w:rsidRPr="00B80C24">
        <w:rPr>
          <w:rFonts w:ascii="Calibri" w:hAnsi="Calibri" w:cs="Calibri"/>
          <w:b/>
          <w:bCs/>
          <w:color w:val="000000"/>
          <w:sz w:val="22"/>
          <w:szCs w:val="22"/>
        </w:rPr>
        <w:t>(b)</w:t>
      </w:r>
      <w:r w:rsidRPr="00B80C24">
        <w:rPr>
          <w:rFonts w:ascii="Calibri" w:hAnsi="Calibri" w:cs="Calibri"/>
          <w:color w:val="000000"/>
          <w:sz w:val="22"/>
          <w:szCs w:val="22"/>
        </w:rPr>
        <w:t xml:space="preserve"> že není vyžadována mezitímní účetní závěrka, přestože poslední řádná nebo mimořádná účetní závěrka, popřípadě konečná účetní závěrka byla sestavena z údajů ke dni, od něhož ke dni vyhotovení projektu fúze uplynulo více než 6 měsíců, </w:t>
      </w:r>
      <w:r w:rsidRPr="00B80C24">
        <w:rPr>
          <w:rFonts w:ascii="Calibri" w:hAnsi="Calibri" w:cs="Calibri"/>
          <w:b/>
          <w:bCs/>
          <w:color w:val="000000"/>
          <w:sz w:val="22"/>
          <w:szCs w:val="22"/>
        </w:rPr>
        <w:t>(c)</w:t>
      </w:r>
      <w:r w:rsidRPr="00B80C24">
        <w:rPr>
          <w:rFonts w:ascii="Calibri" w:hAnsi="Calibri" w:cs="Calibri"/>
          <w:color w:val="000000"/>
          <w:sz w:val="22"/>
          <w:szCs w:val="22"/>
        </w:rPr>
        <w:t xml:space="preserve"> že se znalecká zpráva nevyžaduje, </w:t>
      </w:r>
      <w:r w:rsidRPr="00B80C24">
        <w:rPr>
          <w:rFonts w:ascii="Calibri" w:hAnsi="Calibri" w:cs="Calibri"/>
          <w:b/>
          <w:bCs/>
          <w:color w:val="000000"/>
          <w:sz w:val="22"/>
          <w:szCs w:val="22"/>
        </w:rPr>
        <w:t>(d)</w:t>
      </w:r>
      <w:r w:rsidRPr="00B80C24">
        <w:rPr>
          <w:rFonts w:ascii="Calibri" w:hAnsi="Calibri" w:cs="Calibri"/>
          <w:color w:val="000000"/>
          <w:sz w:val="22"/>
          <w:szCs w:val="22"/>
        </w:rPr>
        <w:t xml:space="preserve"> že nevyžaduje seznámení se změnami jmění, k nimž došlo v období od vyhotovení projektu přeshraniční fúze do dne konání valné hromady.</w:t>
      </w:r>
    </w:p>
    <w:p w14:paraId="19F28CE1"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09135202"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Česká osoba zúčastněná na přeshraniční přeměně upozorňuje své akcionáře, že v souladu s ustanovením § 45 a násl. zákona o přeměnách jim příslušejí tato práva:</w:t>
      </w:r>
    </w:p>
    <w:p w14:paraId="453DC808"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 xml:space="preserve">Není-li výměnný poměr podílů spolu s případnými doplatky uvedený v projektu fúze k rozhodnému dni přiměřený nebo nepřiznává-li projekt fúze akcionářům nástupnické společnosti, jejichž podíly se nevyměňují, k rozhodnému dni přiměřený doplatek, mají akcionáři zúčastněné společnosti při fúzi (dále jen „oprávněné osoby“), vůči nástupnické společnosti (dále jen „povinná osoba“) právo na dorovnání v penězích (dále jen „dorovnání“), nestanoví-li zákon o přeměnách něco jiného. Na základě dohody mezi oprávněnou a povinnou osobou lze dorovnání poskytnout též nepeněžitou formou, zejména jako podíl v nástupnické společnosti. </w:t>
      </w:r>
    </w:p>
    <w:p w14:paraId="6E2FA24F"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Právo na dorovnání má oprávněná osoba pouze ve vztahu k podílu, který byl v jejím majetku v den schválení přeměny té osoby zúčastněné na přeměně, v níž tento podíl měla. Právo na dorovnání přechází na právního nástupce oprávněné osoby, ledaže nabyl podíl převodem, a ode dne zápisu fúze do obchodního rejstříku je i samostatně převoditelné.</w:t>
      </w:r>
    </w:p>
    <w:p w14:paraId="3472B4E0"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Právo na dorovnání musí být uplatněno u povinné osoby alespoň jednou z oprávněných osob nejpozději do 6 měsíců ode dne, kdy se zápis fúze do obchodního rejstříku stal účinným vůči třetím osobám, jinak toto právo zaniká.</w:t>
      </w:r>
    </w:p>
    <w:p w14:paraId="2F91B8BD"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Výměna podílů a vyplacení doplatků se při přeshraniční přeměně řídí zákonem o přeměnách a právním řádem státu, jímž se řídí vnitřní právní poměry zahraniční právnické osoby, má-li mít nástupnická právnická osoba po zápisu přeshraniční přeměny své sídlo na území České republiky.</w:t>
      </w:r>
    </w:p>
    <w:p w14:paraId="05D9128A"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73A8F5C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Česká osoba zúčastněná na přeshraniční přeměně upozorňuje své akcionáře, že v souladu s ustanovením § 144 odst. 1, § 145 a § 49a a násl. zákona o přeměnách jim příslušejí tato práva:</w:t>
      </w:r>
    </w:p>
    <w:p w14:paraId="33EA7FC2"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Dobrovolný odkup:</w:t>
      </w:r>
    </w:p>
    <w:p w14:paraId="4633F7A3"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Jestliže je nástupnická společnost vlastníkem alespoň 90 % akcií zanikající společnosti s hlasovacími právy, může projekt fúze sloučením obsahovat povinnost nástupnické společnosti odkoupit akcie, jež byly vyměněny za ostatní akcie této zanikající společnosti.</w:t>
      </w:r>
    </w:p>
    <w:p w14:paraId="52B010F7"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Povinný odkup:</w:t>
      </w:r>
    </w:p>
    <w:p w14:paraId="4787AB0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Jestliže se v důsledku fúze změní právní postavení akcionářů některé ze zúčastněných společností tak, že dojde k výměně akcií za akcie jiného druhu, ke změně práv spojených s určitým druhem akcií, kterými se zhoršuje právní postavení akcionáře oproti stavu před zápisem fúze do obchodního rejstříku, k výměně akcií přijatých k obchodování na evropském regulovaném trhu za akcie, které nejsou přijaty k obchodování na evropském regulovaném trhu, nebo k výměně akcií, jejichž převoditelnost není omezena, za akcie s omezenou převoditelností, musí projekt fúze obsahovat povinnost nástupnické společnosti odkoupit vyměněné akcie od osoby, která</w:t>
      </w:r>
    </w:p>
    <w:p w14:paraId="3AB8D01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a) byla oprávněna vykonávat hlasovací právo na valné hromadě zúčastněné společnosti, která schválila fúzi,</w:t>
      </w:r>
    </w:p>
    <w:p w14:paraId="5F148E39"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b) se zúčastnila valné hromady a</w:t>
      </w:r>
    </w:p>
    <w:p w14:paraId="32A1088F"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c) hlasovala proti schválení fúze.</w:t>
      </w:r>
    </w:p>
    <w:p w14:paraId="66D22658"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Povinnost nástupnické společnosti odkoupit akcie se vztahuje pouze na akcie nástupnické společnosti, které byly vyměněny za akcie, s nimiž bylo hlasováno proti schválení fúze.</w:t>
      </w:r>
    </w:p>
    <w:p w14:paraId="2715FA5A"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Podstatná změna jmění:</w:t>
      </w:r>
    </w:p>
    <w:p w14:paraId="11321641"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lastRenderedPageBreak/>
        <w:t>Právo odprodat svůj podíl v nástupnické společnosti této společnosti, jestliže mezi rozhodným dnem fúze a zápisem fúze do obchodního rejstříku dojde k podstatné změně nebo změnám týkajícím se jmění kterékoliv ze společností zúčastněných na přeměně, jež by odůvodňovaly jiný výměnný poměr podílů, má osoba,</w:t>
      </w:r>
    </w:p>
    <w:p w14:paraId="498C80FF"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 xml:space="preserve">a) která byla společníkem zúčastněné společnosti ke dni schválení fúze </w:t>
      </w:r>
    </w:p>
    <w:p w14:paraId="2E3D981F"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b) která hlasovala proti schválení fúze,</w:t>
      </w:r>
    </w:p>
    <w:p w14:paraId="0C019CCE"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c) v jejíž neprospěch se zhoršil výměnný poměr podílu a</w:t>
      </w:r>
    </w:p>
    <w:p w14:paraId="34E93F83"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d) která od zápisu fúze do obchodního rejstříku nevykonávala práva společníka v nástupnické společnosti, kromě práva na výměnu podílu za podíl v nástupnické společnosti.</w:t>
      </w:r>
    </w:p>
    <w:p w14:paraId="733652AA"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Akcionář je oprávněn uplatnit právo na odkoupení podílu na nástupnické společnosti, se kterým hlasoval proti schválení fúze nebo který mu byl vyměněn za podíl na zanikající společnosti, se kterým hlasoval proti schválení fúze.</w:t>
      </w:r>
    </w:p>
    <w:p w14:paraId="060E27F1"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Pravidla odkupu jsou upravena v zákoně o přeměnách.</w:t>
      </w:r>
    </w:p>
    <w:p w14:paraId="681EF67B"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06E2B3CA"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Přiznává-li zákon o přeměnách právo akcionáři vystoupit ze společnosti, může ze společnosti vystoupit jen ohledně těch akcií, s nimiž hlasoval proti schválení přeměny.</w:t>
      </w:r>
    </w:p>
    <w:p w14:paraId="4217FD7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2D6370B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Pravidla odkupu stanoví zákon o přeměnách.</w:t>
      </w:r>
    </w:p>
    <w:p w14:paraId="5AE8A01B"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29531469"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Česká osoba zúčastněná na přeshraniční přeměně upozorňuje své akcionáře, že v souladu s ustanovením § 59r zákona o přeměnách jim příslušejí tato práva:</w:t>
      </w:r>
    </w:p>
    <w:p w14:paraId="7342C97F"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Právo vystoupit ze společnosti má při přeshraniční fúzi každý společník české společnosti s ručením omezeným nebo akciové společnosti, který s přeshraniční fúzí nesouhlasil, jestliže</w:t>
      </w:r>
    </w:p>
    <w:p w14:paraId="643906AB"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a) byl společníkem ke dni schválení přeshraniční přeměny a</w:t>
      </w:r>
    </w:p>
    <w:p w14:paraId="7AC1BFEF"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b) hlasoval proti schválení přeshraniční přeměny.</w:t>
      </w:r>
    </w:p>
    <w:p w14:paraId="75ED30A7"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Vystoupení musí mít písemnou formu a musí být společnosti doručeno ve lhůtě 1 měsíce ode dne, kdy byla fúze schválena její valnou hromadou. Nejpozději v pozvánce na valnou hromadu, která má přeshraniční přeměnu schvalovat, uvede společnost adresu elektronické pošty, na kterou lze zaslat vystoupení v elektronické podobě.</w:t>
      </w:r>
    </w:p>
    <w:p w14:paraId="27706830"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B80C24">
        <w:rPr>
          <w:rFonts w:ascii="Calibri" w:hAnsi="Calibri" w:cs="Calibri"/>
          <w:color w:val="000000"/>
          <w:sz w:val="22"/>
          <w:szCs w:val="22"/>
        </w:rPr>
        <w:t>Pravidla pro vypořádání stanoví zákon o přeměnách.</w:t>
      </w:r>
    </w:p>
    <w:p w14:paraId="1E59B41C"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725F5243"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B80C24">
        <w:rPr>
          <w:rFonts w:ascii="Calibri" w:hAnsi="Calibri" w:cs="Calibri"/>
          <w:b/>
          <w:color w:val="000000"/>
          <w:sz w:val="22"/>
          <w:szCs w:val="22"/>
        </w:rPr>
        <w:t>III.</w:t>
      </w:r>
    </w:p>
    <w:p w14:paraId="4DE3C81B"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B80C24">
        <w:rPr>
          <w:rFonts w:ascii="Calibri" w:hAnsi="Calibri" w:cs="Calibri"/>
          <w:b/>
          <w:color w:val="000000"/>
          <w:sz w:val="22"/>
          <w:szCs w:val="22"/>
        </w:rPr>
        <w:t>Upozornění pro zaměstnance</w:t>
      </w:r>
    </w:p>
    <w:p w14:paraId="7AB04307"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000000"/>
          <w:sz w:val="22"/>
          <w:szCs w:val="22"/>
        </w:rPr>
      </w:pPr>
      <w:r w:rsidRPr="00B80C24">
        <w:rPr>
          <w:rFonts w:ascii="Calibri" w:hAnsi="Calibri" w:cs="Calibri"/>
          <w:bCs/>
          <w:color w:val="000000"/>
          <w:sz w:val="22"/>
          <w:szCs w:val="22"/>
        </w:rPr>
        <w:t>Zúčastněné společnosti žádné zaměstnance nemají.</w:t>
      </w:r>
    </w:p>
    <w:p w14:paraId="5DF2CFFB"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0E9D04EE" w14:textId="5F1691F9" w:rsidR="009D77D7" w:rsidRPr="00B80C24" w:rsidRDefault="009D77D7" w:rsidP="009D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B80C24">
        <w:rPr>
          <w:rFonts w:ascii="Calibri" w:hAnsi="Calibri" w:cs="Calibri"/>
          <w:b/>
          <w:color w:val="000000"/>
          <w:sz w:val="22"/>
          <w:szCs w:val="22"/>
        </w:rPr>
        <w:t>IV.</w:t>
      </w:r>
    </w:p>
    <w:p w14:paraId="0B8D4D33" w14:textId="385A14B4" w:rsidR="009D77D7" w:rsidRPr="00B80C24" w:rsidRDefault="009D77D7" w:rsidP="00B8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B80C24">
        <w:rPr>
          <w:rFonts w:ascii="Calibri" w:hAnsi="Calibri" w:cs="Calibri"/>
          <w:b/>
          <w:color w:val="000000"/>
          <w:sz w:val="22"/>
          <w:szCs w:val="22"/>
        </w:rPr>
        <w:t>Ostatní upozornění</w:t>
      </w:r>
    </w:p>
    <w:p w14:paraId="74CBD416"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Česká osoba zúčastněná na přeshraniční přeměně upozorňuje společníky, věřitele a zástupce zaměstnanců, popřípadě zaměstnance, nemají-li zástupce, že jí mohou doručit připomínky k projektu přeměny, a to nejpozději 5 pracovních dnů přede dnem konání valné hromady. </w:t>
      </w:r>
    </w:p>
    <w:p w14:paraId="4A9441A8"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34A7B900"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B80C24">
        <w:rPr>
          <w:rFonts w:ascii="Calibri" w:hAnsi="Calibri" w:cs="Calibri"/>
          <w:b/>
          <w:bCs/>
          <w:color w:val="000000"/>
          <w:sz w:val="22"/>
          <w:szCs w:val="22"/>
        </w:rPr>
        <w:t>Česká osoba zúčastněná na přeshraniční přeměně upozorňuje společníky, věřitele a zástupce zaměstnanců, popřípadě zaměstnance, že do sbírky listin obchodního rejstříku je zároveň zakládáno prohlášení statutárního orgánu přesně zachycující finanční situaci české osoby zúčastněné na přeshraniční přeměně ke dni, který nepředchází dni uložení tohoto upozornění o více než 1 měsíc, v němž bude uvedeno, že si není vědom skutečností, pro které by nástupnická společnost neměla být po nabytí účinnosti přeshraniční přeměny schopna dostát svým dluhům nebo dluhům, které na ní podle projektu přeshraniční přeměny přejdou, v době jejich splatnosti.</w:t>
      </w:r>
    </w:p>
    <w:p w14:paraId="21710F37" w14:textId="77777777" w:rsidR="00EF0E8B" w:rsidRPr="00B80C24" w:rsidRDefault="00EF0E8B" w:rsidP="00EF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047C76B1" w14:textId="6A942EC3" w:rsidR="00942398" w:rsidRPr="00234C23" w:rsidRDefault="00EF0E8B" w:rsidP="00A8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B80C24">
        <w:rPr>
          <w:rFonts w:ascii="Calibri" w:hAnsi="Calibri" w:cs="Calibri"/>
          <w:color w:val="000000"/>
          <w:sz w:val="22"/>
          <w:szCs w:val="22"/>
        </w:rPr>
        <w:t>Oznamovatel:</w:t>
      </w:r>
      <w:r w:rsidR="009D77D7" w:rsidRPr="00B80C24">
        <w:t xml:space="preserve"> </w:t>
      </w:r>
      <w:r w:rsidR="009D77D7" w:rsidRPr="00B80C24">
        <w:rPr>
          <w:rFonts w:asciiTheme="minorHAnsi" w:hAnsiTheme="minorHAnsi" w:cstheme="minorHAnsi"/>
          <w:b/>
          <w:sz w:val="22"/>
          <w:szCs w:val="22"/>
          <w:shd w:val="clear" w:color="auto" w:fill="FFFFFF"/>
        </w:rPr>
        <w:t>Alpine Capital Investment a.s.</w:t>
      </w:r>
    </w:p>
    <w:sectPr w:rsidR="00942398" w:rsidRPr="00234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AD"/>
    <w:rsid w:val="00032FE0"/>
    <w:rsid w:val="0007563D"/>
    <w:rsid w:val="000F549C"/>
    <w:rsid w:val="001A2917"/>
    <w:rsid w:val="00234C23"/>
    <w:rsid w:val="00350F27"/>
    <w:rsid w:val="005B7799"/>
    <w:rsid w:val="006B2883"/>
    <w:rsid w:val="007F018F"/>
    <w:rsid w:val="00886BF4"/>
    <w:rsid w:val="008D42E4"/>
    <w:rsid w:val="008F2AAD"/>
    <w:rsid w:val="00942398"/>
    <w:rsid w:val="00956F4C"/>
    <w:rsid w:val="00966B43"/>
    <w:rsid w:val="009D77D7"/>
    <w:rsid w:val="00A84522"/>
    <w:rsid w:val="00B80C24"/>
    <w:rsid w:val="00CD02FA"/>
    <w:rsid w:val="00D04A77"/>
    <w:rsid w:val="00D75583"/>
    <w:rsid w:val="00DC5348"/>
    <w:rsid w:val="00DE0587"/>
    <w:rsid w:val="00E82330"/>
    <w:rsid w:val="00EF0E8B"/>
    <w:rsid w:val="00F73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E72B"/>
  <w15:chartTrackingRefBased/>
  <w15:docId w15:val="{987EFB9E-CE63-4679-BD7C-8EF04C9C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2AAD"/>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8F2AAD"/>
    <w:rPr>
      <w:rFonts w:ascii="Courier New" w:eastAsia="Times New Roman" w:hAnsi="Courier New" w:cs="Courier New"/>
      <w:kern w:val="0"/>
      <w:sz w:val="20"/>
      <w:szCs w:val="20"/>
      <w:lang w:eastAsia="cs-CZ"/>
      <w14:ligatures w14:val="none"/>
    </w:rPr>
  </w:style>
  <w:style w:type="paragraph" w:styleId="Normlnweb">
    <w:name w:val="Normal (Web)"/>
    <w:basedOn w:val="Normln"/>
    <w:uiPriority w:val="99"/>
    <w:unhideWhenUsed/>
    <w:rsid w:val="008F2AAD"/>
    <w:pPr>
      <w:spacing w:before="100" w:beforeAutospacing="1" w:after="100" w:afterAutospacing="1"/>
    </w:pPr>
  </w:style>
  <w:style w:type="paragraph" w:styleId="Revize">
    <w:name w:val="Revision"/>
    <w:hidden/>
    <w:uiPriority w:val="99"/>
    <w:semiHidden/>
    <w:rsid w:val="00350F27"/>
    <w:pPr>
      <w:spacing w:after="0"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350F27"/>
    <w:rPr>
      <w:color w:val="0563C1" w:themeColor="hyperlink"/>
      <w:u w:val="single"/>
    </w:rPr>
  </w:style>
  <w:style w:type="character" w:styleId="Nevyeenzmnka">
    <w:name w:val="Unresolved Mention"/>
    <w:basedOn w:val="Standardnpsmoodstavce"/>
    <w:uiPriority w:val="99"/>
    <w:semiHidden/>
    <w:unhideWhenUsed/>
    <w:rsid w:val="00350F27"/>
    <w:rPr>
      <w:color w:val="605E5C"/>
      <w:shd w:val="clear" w:color="auto" w:fill="E1DFDD"/>
    </w:rPr>
  </w:style>
  <w:style w:type="character" w:styleId="Odkaznakoment">
    <w:name w:val="annotation reference"/>
    <w:basedOn w:val="Standardnpsmoodstavce"/>
    <w:uiPriority w:val="99"/>
    <w:semiHidden/>
    <w:unhideWhenUsed/>
    <w:rsid w:val="00350F27"/>
    <w:rPr>
      <w:sz w:val="16"/>
      <w:szCs w:val="16"/>
    </w:rPr>
  </w:style>
  <w:style w:type="paragraph" w:styleId="Textkomente">
    <w:name w:val="annotation text"/>
    <w:basedOn w:val="Normln"/>
    <w:link w:val="TextkomenteChar"/>
    <w:uiPriority w:val="99"/>
    <w:unhideWhenUsed/>
    <w:rsid w:val="00350F27"/>
    <w:rPr>
      <w:sz w:val="20"/>
      <w:szCs w:val="20"/>
    </w:rPr>
  </w:style>
  <w:style w:type="character" w:customStyle="1" w:styleId="TextkomenteChar">
    <w:name w:val="Text komentáře Char"/>
    <w:basedOn w:val="Standardnpsmoodstavce"/>
    <w:link w:val="Textkomente"/>
    <w:uiPriority w:val="99"/>
    <w:rsid w:val="00350F2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350F27"/>
    <w:rPr>
      <w:b/>
      <w:bCs/>
    </w:rPr>
  </w:style>
  <w:style w:type="character" w:customStyle="1" w:styleId="PedmtkomenteChar">
    <w:name w:val="Předmět komentáře Char"/>
    <w:basedOn w:val="TextkomenteChar"/>
    <w:link w:val="Pedmtkomente"/>
    <w:uiPriority w:val="99"/>
    <w:semiHidden/>
    <w:rsid w:val="00350F27"/>
    <w:rPr>
      <w:rFonts w:ascii="Times New Roman" w:eastAsia="Times New Roman" w:hAnsi="Times New Roman" w:cs="Times New Roman"/>
      <w:b/>
      <w:bCs/>
      <w:kern w:val="0"/>
      <w:sz w:val="20"/>
      <w:szCs w:val="20"/>
      <w:lang w:eastAsia="cs-CZ"/>
      <w14:ligatures w14:val="none"/>
    </w:rPr>
  </w:style>
  <w:style w:type="character" w:styleId="Siln">
    <w:name w:val="Strong"/>
    <w:uiPriority w:val="22"/>
    <w:qFormat/>
    <w:rsid w:val="005B7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33859">
      <w:bodyDiv w:val="1"/>
      <w:marLeft w:val="0"/>
      <w:marRight w:val="0"/>
      <w:marTop w:val="0"/>
      <w:marBottom w:val="0"/>
      <w:divBdr>
        <w:top w:val="none" w:sz="0" w:space="0" w:color="auto"/>
        <w:left w:val="none" w:sz="0" w:space="0" w:color="auto"/>
        <w:bottom w:val="none" w:sz="0" w:space="0" w:color="auto"/>
        <w:right w:val="none" w:sz="0" w:space="0" w:color="auto"/>
      </w:divBdr>
      <w:divsChild>
        <w:div w:id="1799378604">
          <w:marLeft w:val="0"/>
          <w:marRight w:val="0"/>
          <w:marTop w:val="0"/>
          <w:marBottom w:val="192"/>
          <w:divBdr>
            <w:top w:val="none" w:sz="0" w:space="0" w:color="auto"/>
            <w:left w:val="none" w:sz="0" w:space="0" w:color="auto"/>
            <w:bottom w:val="none" w:sz="0" w:space="0" w:color="auto"/>
            <w:right w:val="none" w:sz="0" w:space="0" w:color="auto"/>
          </w:divBdr>
          <w:divsChild>
            <w:div w:id="582763077">
              <w:marLeft w:val="0"/>
              <w:marRight w:val="0"/>
              <w:marTop w:val="0"/>
              <w:marBottom w:val="0"/>
              <w:divBdr>
                <w:top w:val="none" w:sz="0" w:space="0" w:color="auto"/>
                <w:left w:val="none" w:sz="0" w:space="0" w:color="auto"/>
                <w:bottom w:val="none" w:sz="0" w:space="0" w:color="auto"/>
                <w:right w:val="none" w:sz="0" w:space="0" w:color="auto"/>
              </w:divBdr>
            </w:div>
            <w:div w:id="1778021886">
              <w:marLeft w:val="624"/>
              <w:marRight w:val="0"/>
              <w:marTop w:val="0"/>
              <w:marBottom w:val="0"/>
              <w:divBdr>
                <w:top w:val="none" w:sz="0" w:space="0" w:color="auto"/>
                <w:left w:val="none" w:sz="0" w:space="0" w:color="auto"/>
                <w:bottom w:val="none" w:sz="0" w:space="0" w:color="auto"/>
                <w:right w:val="none" w:sz="0" w:space="0" w:color="auto"/>
              </w:divBdr>
            </w:div>
            <w:div w:id="980694353">
              <w:marLeft w:val="624"/>
              <w:marRight w:val="0"/>
              <w:marTop w:val="0"/>
              <w:marBottom w:val="0"/>
              <w:divBdr>
                <w:top w:val="none" w:sz="0" w:space="0" w:color="auto"/>
                <w:left w:val="none" w:sz="0" w:space="0" w:color="auto"/>
                <w:bottom w:val="none" w:sz="0" w:space="0" w:color="auto"/>
                <w:right w:val="none" w:sz="0" w:space="0" w:color="auto"/>
              </w:divBdr>
            </w:div>
          </w:divsChild>
        </w:div>
        <w:div w:id="735322119">
          <w:marLeft w:val="0"/>
          <w:marRight w:val="0"/>
          <w:marTop w:val="312"/>
          <w:marBottom w:val="96"/>
          <w:divBdr>
            <w:top w:val="none" w:sz="0" w:space="0" w:color="auto"/>
            <w:left w:val="none" w:sz="0" w:space="0" w:color="auto"/>
            <w:bottom w:val="none" w:sz="0" w:space="0" w:color="auto"/>
            <w:right w:val="none" w:sz="0" w:space="0" w:color="auto"/>
          </w:divBdr>
        </w:div>
        <w:div w:id="990449071">
          <w:marLeft w:val="0"/>
          <w:marRight w:val="0"/>
          <w:marTop w:val="0"/>
          <w:marBottom w:val="192"/>
          <w:divBdr>
            <w:top w:val="none" w:sz="0" w:space="0" w:color="auto"/>
            <w:left w:val="none" w:sz="0" w:space="0" w:color="auto"/>
            <w:bottom w:val="none" w:sz="0" w:space="0" w:color="auto"/>
            <w:right w:val="none" w:sz="0" w:space="0" w:color="auto"/>
          </w:divBdr>
        </w:div>
      </w:divsChild>
    </w:div>
    <w:div w:id="439299092">
      <w:bodyDiv w:val="1"/>
      <w:marLeft w:val="0"/>
      <w:marRight w:val="0"/>
      <w:marTop w:val="0"/>
      <w:marBottom w:val="0"/>
      <w:divBdr>
        <w:top w:val="none" w:sz="0" w:space="0" w:color="auto"/>
        <w:left w:val="none" w:sz="0" w:space="0" w:color="auto"/>
        <w:bottom w:val="none" w:sz="0" w:space="0" w:color="auto"/>
        <w:right w:val="none" w:sz="0" w:space="0" w:color="auto"/>
      </w:divBdr>
      <w:divsChild>
        <w:div w:id="1227647711">
          <w:marLeft w:val="0"/>
          <w:marRight w:val="0"/>
          <w:marTop w:val="0"/>
          <w:marBottom w:val="192"/>
          <w:divBdr>
            <w:top w:val="none" w:sz="0" w:space="0" w:color="auto"/>
            <w:left w:val="none" w:sz="0" w:space="0" w:color="auto"/>
            <w:bottom w:val="none" w:sz="0" w:space="0" w:color="auto"/>
            <w:right w:val="none" w:sz="0" w:space="0" w:color="auto"/>
          </w:divBdr>
          <w:divsChild>
            <w:div w:id="1037386643">
              <w:marLeft w:val="0"/>
              <w:marRight w:val="0"/>
              <w:marTop w:val="0"/>
              <w:marBottom w:val="0"/>
              <w:divBdr>
                <w:top w:val="none" w:sz="0" w:space="0" w:color="auto"/>
                <w:left w:val="none" w:sz="0" w:space="0" w:color="auto"/>
                <w:bottom w:val="none" w:sz="0" w:space="0" w:color="auto"/>
                <w:right w:val="none" w:sz="0" w:space="0" w:color="auto"/>
              </w:divBdr>
            </w:div>
            <w:div w:id="164171569">
              <w:marLeft w:val="624"/>
              <w:marRight w:val="0"/>
              <w:marTop w:val="0"/>
              <w:marBottom w:val="0"/>
              <w:divBdr>
                <w:top w:val="none" w:sz="0" w:space="0" w:color="auto"/>
                <w:left w:val="none" w:sz="0" w:space="0" w:color="auto"/>
                <w:bottom w:val="none" w:sz="0" w:space="0" w:color="auto"/>
                <w:right w:val="none" w:sz="0" w:space="0" w:color="auto"/>
              </w:divBdr>
            </w:div>
            <w:div w:id="1468163103">
              <w:marLeft w:val="624"/>
              <w:marRight w:val="0"/>
              <w:marTop w:val="0"/>
              <w:marBottom w:val="0"/>
              <w:divBdr>
                <w:top w:val="none" w:sz="0" w:space="0" w:color="auto"/>
                <w:left w:val="none" w:sz="0" w:space="0" w:color="auto"/>
                <w:bottom w:val="none" w:sz="0" w:space="0" w:color="auto"/>
                <w:right w:val="none" w:sz="0" w:space="0" w:color="auto"/>
              </w:divBdr>
            </w:div>
            <w:div w:id="376247188">
              <w:marLeft w:val="624"/>
              <w:marRight w:val="0"/>
              <w:marTop w:val="0"/>
              <w:marBottom w:val="0"/>
              <w:divBdr>
                <w:top w:val="none" w:sz="0" w:space="0" w:color="auto"/>
                <w:left w:val="none" w:sz="0" w:space="0" w:color="auto"/>
                <w:bottom w:val="none" w:sz="0" w:space="0" w:color="auto"/>
                <w:right w:val="none" w:sz="0" w:space="0" w:color="auto"/>
              </w:divBdr>
            </w:div>
            <w:div w:id="681786230">
              <w:marLeft w:val="624"/>
              <w:marRight w:val="0"/>
              <w:marTop w:val="0"/>
              <w:marBottom w:val="0"/>
              <w:divBdr>
                <w:top w:val="none" w:sz="0" w:space="0" w:color="auto"/>
                <w:left w:val="none" w:sz="0" w:space="0" w:color="auto"/>
                <w:bottom w:val="none" w:sz="0" w:space="0" w:color="auto"/>
                <w:right w:val="none" w:sz="0" w:space="0" w:color="auto"/>
              </w:divBdr>
            </w:div>
          </w:divsChild>
        </w:div>
        <w:div w:id="511187323">
          <w:marLeft w:val="0"/>
          <w:marRight w:val="0"/>
          <w:marTop w:val="0"/>
          <w:marBottom w:val="192"/>
          <w:divBdr>
            <w:top w:val="none" w:sz="0" w:space="0" w:color="auto"/>
            <w:left w:val="none" w:sz="0" w:space="0" w:color="auto"/>
            <w:bottom w:val="none" w:sz="0" w:space="0" w:color="auto"/>
            <w:right w:val="none" w:sz="0" w:space="0" w:color="auto"/>
          </w:divBdr>
        </w:div>
      </w:divsChild>
    </w:div>
    <w:div w:id="455491166">
      <w:bodyDiv w:val="1"/>
      <w:marLeft w:val="0"/>
      <w:marRight w:val="0"/>
      <w:marTop w:val="0"/>
      <w:marBottom w:val="0"/>
      <w:divBdr>
        <w:top w:val="none" w:sz="0" w:space="0" w:color="auto"/>
        <w:left w:val="none" w:sz="0" w:space="0" w:color="auto"/>
        <w:bottom w:val="none" w:sz="0" w:space="0" w:color="auto"/>
        <w:right w:val="none" w:sz="0" w:space="0" w:color="auto"/>
      </w:divBdr>
      <w:divsChild>
        <w:div w:id="1954439814">
          <w:marLeft w:val="0"/>
          <w:marRight w:val="0"/>
          <w:marTop w:val="0"/>
          <w:marBottom w:val="192"/>
          <w:divBdr>
            <w:top w:val="none" w:sz="0" w:space="0" w:color="auto"/>
            <w:left w:val="none" w:sz="0" w:space="0" w:color="auto"/>
            <w:bottom w:val="none" w:sz="0" w:space="0" w:color="auto"/>
            <w:right w:val="none" w:sz="0" w:space="0" w:color="auto"/>
          </w:divBdr>
        </w:div>
        <w:div w:id="2136866863">
          <w:marLeft w:val="0"/>
          <w:marRight w:val="0"/>
          <w:marTop w:val="0"/>
          <w:marBottom w:val="192"/>
          <w:divBdr>
            <w:top w:val="none" w:sz="0" w:space="0" w:color="auto"/>
            <w:left w:val="none" w:sz="0" w:space="0" w:color="auto"/>
            <w:bottom w:val="none" w:sz="0" w:space="0" w:color="auto"/>
            <w:right w:val="none" w:sz="0" w:space="0" w:color="auto"/>
          </w:divBdr>
          <w:divsChild>
            <w:div w:id="1144542167">
              <w:marLeft w:val="0"/>
              <w:marRight w:val="0"/>
              <w:marTop w:val="0"/>
              <w:marBottom w:val="0"/>
              <w:divBdr>
                <w:top w:val="none" w:sz="0" w:space="0" w:color="auto"/>
                <w:left w:val="none" w:sz="0" w:space="0" w:color="auto"/>
                <w:bottom w:val="none" w:sz="0" w:space="0" w:color="auto"/>
                <w:right w:val="none" w:sz="0" w:space="0" w:color="auto"/>
              </w:divBdr>
            </w:div>
            <w:div w:id="244649196">
              <w:marLeft w:val="624"/>
              <w:marRight w:val="0"/>
              <w:marTop w:val="0"/>
              <w:marBottom w:val="0"/>
              <w:divBdr>
                <w:top w:val="none" w:sz="0" w:space="0" w:color="auto"/>
                <w:left w:val="none" w:sz="0" w:space="0" w:color="auto"/>
                <w:bottom w:val="none" w:sz="0" w:space="0" w:color="auto"/>
                <w:right w:val="none" w:sz="0" w:space="0" w:color="auto"/>
              </w:divBdr>
            </w:div>
            <w:div w:id="1284077034">
              <w:marLeft w:val="624"/>
              <w:marRight w:val="0"/>
              <w:marTop w:val="0"/>
              <w:marBottom w:val="0"/>
              <w:divBdr>
                <w:top w:val="none" w:sz="0" w:space="0" w:color="auto"/>
                <w:left w:val="none" w:sz="0" w:space="0" w:color="auto"/>
                <w:bottom w:val="none" w:sz="0" w:space="0" w:color="auto"/>
                <w:right w:val="none" w:sz="0" w:space="0" w:color="auto"/>
              </w:divBdr>
            </w:div>
            <w:div w:id="714961871">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511191686">
      <w:bodyDiv w:val="1"/>
      <w:marLeft w:val="0"/>
      <w:marRight w:val="0"/>
      <w:marTop w:val="0"/>
      <w:marBottom w:val="0"/>
      <w:divBdr>
        <w:top w:val="none" w:sz="0" w:space="0" w:color="auto"/>
        <w:left w:val="none" w:sz="0" w:space="0" w:color="auto"/>
        <w:bottom w:val="none" w:sz="0" w:space="0" w:color="auto"/>
        <w:right w:val="none" w:sz="0" w:space="0" w:color="auto"/>
      </w:divBdr>
      <w:divsChild>
        <w:div w:id="1238242915">
          <w:marLeft w:val="0"/>
          <w:marRight w:val="0"/>
          <w:marTop w:val="0"/>
          <w:marBottom w:val="192"/>
          <w:divBdr>
            <w:top w:val="none" w:sz="0" w:space="0" w:color="auto"/>
            <w:left w:val="none" w:sz="0" w:space="0" w:color="auto"/>
            <w:bottom w:val="none" w:sz="0" w:space="0" w:color="auto"/>
            <w:right w:val="none" w:sz="0" w:space="0" w:color="auto"/>
          </w:divBdr>
        </w:div>
        <w:div w:id="1865091974">
          <w:marLeft w:val="0"/>
          <w:marRight w:val="0"/>
          <w:marTop w:val="0"/>
          <w:marBottom w:val="192"/>
          <w:divBdr>
            <w:top w:val="none" w:sz="0" w:space="0" w:color="auto"/>
            <w:left w:val="none" w:sz="0" w:space="0" w:color="auto"/>
            <w:bottom w:val="none" w:sz="0" w:space="0" w:color="auto"/>
            <w:right w:val="none" w:sz="0" w:space="0" w:color="auto"/>
          </w:divBdr>
        </w:div>
      </w:divsChild>
    </w:div>
    <w:div w:id="831604479">
      <w:bodyDiv w:val="1"/>
      <w:marLeft w:val="0"/>
      <w:marRight w:val="0"/>
      <w:marTop w:val="0"/>
      <w:marBottom w:val="0"/>
      <w:divBdr>
        <w:top w:val="none" w:sz="0" w:space="0" w:color="auto"/>
        <w:left w:val="none" w:sz="0" w:space="0" w:color="auto"/>
        <w:bottom w:val="none" w:sz="0" w:space="0" w:color="auto"/>
        <w:right w:val="none" w:sz="0" w:space="0" w:color="auto"/>
      </w:divBdr>
      <w:divsChild>
        <w:div w:id="1610889750">
          <w:marLeft w:val="0"/>
          <w:marRight w:val="0"/>
          <w:marTop w:val="0"/>
          <w:marBottom w:val="192"/>
          <w:divBdr>
            <w:top w:val="none" w:sz="0" w:space="0" w:color="auto"/>
            <w:left w:val="none" w:sz="0" w:space="0" w:color="auto"/>
            <w:bottom w:val="none" w:sz="0" w:space="0" w:color="auto"/>
            <w:right w:val="none" w:sz="0" w:space="0" w:color="auto"/>
          </w:divBdr>
        </w:div>
        <w:div w:id="482694788">
          <w:marLeft w:val="0"/>
          <w:marRight w:val="0"/>
          <w:marTop w:val="0"/>
          <w:marBottom w:val="192"/>
          <w:divBdr>
            <w:top w:val="none" w:sz="0" w:space="0" w:color="auto"/>
            <w:left w:val="none" w:sz="0" w:space="0" w:color="auto"/>
            <w:bottom w:val="none" w:sz="0" w:space="0" w:color="auto"/>
            <w:right w:val="none" w:sz="0" w:space="0" w:color="auto"/>
          </w:divBdr>
          <w:divsChild>
            <w:div w:id="1703819173">
              <w:marLeft w:val="0"/>
              <w:marRight w:val="0"/>
              <w:marTop w:val="0"/>
              <w:marBottom w:val="0"/>
              <w:divBdr>
                <w:top w:val="none" w:sz="0" w:space="0" w:color="auto"/>
                <w:left w:val="none" w:sz="0" w:space="0" w:color="auto"/>
                <w:bottom w:val="none" w:sz="0" w:space="0" w:color="auto"/>
                <w:right w:val="none" w:sz="0" w:space="0" w:color="auto"/>
              </w:divBdr>
            </w:div>
            <w:div w:id="1250961822">
              <w:marLeft w:val="624"/>
              <w:marRight w:val="0"/>
              <w:marTop w:val="0"/>
              <w:marBottom w:val="0"/>
              <w:divBdr>
                <w:top w:val="none" w:sz="0" w:space="0" w:color="auto"/>
                <w:left w:val="none" w:sz="0" w:space="0" w:color="auto"/>
                <w:bottom w:val="none" w:sz="0" w:space="0" w:color="auto"/>
                <w:right w:val="none" w:sz="0" w:space="0" w:color="auto"/>
              </w:divBdr>
            </w:div>
            <w:div w:id="942766056">
              <w:marLeft w:val="624"/>
              <w:marRight w:val="0"/>
              <w:marTop w:val="0"/>
              <w:marBottom w:val="0"/>
              <w:divBdr>
                <w:top w:val="none" w:sz="0" w:space="0" w:color="auto"/>
                <w:left w:val="none" w:sz="0" w:space="0" w:color="auto"/>
                <w:bottom w:val="none" w:sz="0" w:space="0" w:color="auto"/>
                <w:right w:val="none" w:sz="0" w:space="0" w:color="auto"/>
              </w:divBdr>
            </w:div>
            <w:div w:id="746610452">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008605203">
      <w:bodyDiv w:val="1"/>
      <w:marLeft w:val="0"/>
      <w:marRight w:val="0"/>
      <w:marTop w:val="0"/>
      <w:marBottom w:val="0"/>
      <w:divBdr>
        <w:top w:val="none" w:sz="0" w:space="0" w:color="auto"/>
        <w:left w:val="none" w:sz="0" w:space="0" w:color="auto"/>
        <w:bottom w:val="none" w:sz="0" w:space="0" w:color="auto"/>
        <w:right w:val="none" w:sz="0" w:space="0" w:color="auto"/>
      </w:divBdr>
      <w:divsChild>
        <w:div w:id="81682988">
          <w:marLeft w:val="0"/>
          <w:marRight w:val="0"/>
          <w:marTop w:val="0"/>
          <w:marBottom w:val="192"/>
          <w:divBdr>
            <w:top w:val="none" w:sz="0" w:space="0" w:color="auto"/>
            <w:left w:val="none" w:sz="0" w:space="0" w:color="auto"/>
            <w:bottom w:val="none" w:sz="0" w:space="0" w:color="auto"/>
            <w:right w:val="none" w:sz="0" w:space="0" w:color="auto"/>
          </w:divBdr>
        </w:div>
        <w:div w:id="1665817282">
          <w:marLeft w:val="0"/>
          <w:marRight w:val="0"/>
          <w:marTop w:val="0"/>
          <w:marBottom w:val="192"/>
          <w:divBdr>
            <w:top w:val="none" w:sz="0" w:space="0" w:color="auto"/>
            <w:left w:val="none" w:sz="0" w:space="0" w:color="auto"/>
            <w:bottom w:val="none" w:sz="0" w:space="0" w:color="auto"/>
            <w:right w:val="none" w:sz="0" w:space="0" w:color="auto"/>
          </w:divBdr>
        </w:div>
        <w:div w:id="1925020497">
          <w:marLeft w:val="0"/>
          <w:marRight w:val="0"/>
          <w:marTop w:val="0"/>
          <w:marBottom w:val="192"/>
          <w:divBdr>
            <w:top w:val="none" w:sz="0" w:space="0" w:color="auto"/>
            <w:left w:val="none" w:sz="0" w:space="0" w:color="auto"/>
            <w:bottom w:val="none" w:sz="0" w:space="0" w:color="auto"/>
            <w:right w:val="none" w:sz="0" w:space="0" w:color="auto"/>
          </w:divBdr>
        </w:div>
        <w:div w:id="2120445161">
          <w:marLeft w:val="0"/>
          <w:marRight w:val="0"/>
          <w:marTop w:val="0"/>
          <w:marBottom w:val="192"/>
          <w:divBdr>
            <w:top w:val="none" w:sz="0" w:space="0" w:color="auto"/>
            <w:left w:val="none" w:sz="0" w:space="0" w:color="auto"/>
            <w:bottom w:val="none" w:sz="0" w:space="0" w:color="auto"/>
            <w:right w:val="none" w:sz="0" w:space="0" w:color="auto"/>
          </w:divBdr>
        </w:div>
      </w:divsChild>
    </w:div>
    <w:div w:id="1185022777">
      <w:bodyDiv w:val="1"/>
      <w:marLeft w:val="0"/>
      <w:marRight w:val="0"/>
      <w:marTop w:val="0"/>
      <w:marBottom w:val="0"/>
      <w:divBdr>
        <w:top w:val="none" w:sz="0" w:space="0" w:color="auto"/>
        <w:left w:val="none" w:sz="0" w:space="0" w:color="auto"/>
        <w:bottom w:val="none" w:sz="0" w:space="0" w:color="auto"/>
        <w:right w:val="none" w:sz="0" w:space="0" w:color="auto"/>
      </w:divBdr>
      <w:divsChild>
        <w:div w:id="929001389">
          <w:marLeft w:val="0"/>
          <w:marRight w:val="0"/>
          <w:marTop w:val="0"/>
          <w:marBottom w:val="192"/>
          <w:divBdr>
            <w:top w:val="none" w:sz="0" w:space="0" w:color="auto"/>
            <w:left w:val="none" w:sz="0" w:space="0" w:color="auto"/>
            <w:bottom w:val="none" w:sz="0" w:space="0" w:color="auto"/>
            <w:right w:val="none" w:sz="0" w:space="0" w:color="auto"/>
          </w:divBdr>
        </w:div>
        <w:div w:id="1813598083">
          <w:marLeft w:val="0"/>
          <w:marRight w:val="0"/>
          <w:marTop w:val="0"/>
          <w:marBottom w:val="192"/>
          <w:divBdr>
            <w:top w:val="none" w:sz="0" w:space="0" w:color="auto"/>
            <w:left w:val="none" w:sz="0" w:space="0" w:color="auto"/>
            <w:bottom w:val="none" w:sz="0" w:space="0" w:color="auto"/>
            <w:right w:val="none" w:sz="0" w:space="0" w:color="auto"/>
          </w:divBdr>
        </w:div>
        <w:div w:id="111363811">
          <w:marLeft w:val="0"/>
          <w:marRight w:val="0"/>
          <w:marTop w:val="0"/>
          <w:marBottom w:val="192"/>
          <w:divBdr>
            <w:top w:val="none" w:sz="0" w:space="0" w:color="auto"/>
            <w:left w:val="none" w:sz="0" w:space="0" w:color="auto"/>
            <w:bottom w:val="none" w:sz="0" w:space="0" w:color="auto"/>
            <w:right w:val="none" w:sz="0" w:space="0" w:color="auto"/>
          </w:divBdr>
        </w:div>
        <w:div w:id="503862757">
          <w:marLeft w:val="0"/>
          <w:marRight w:val="0"/>
          <w:marTop w:val="0"/>
          <w:marBottom w:val="192"/>
          <w:divBdr>
            <w:top w:val="none" w:sz="0" w:space="0" w:color="auto"/>
            <w:left w:val="none" w:sz="0" w:space="0" w:color="auto"/>
            <w:bottom w:val="none" w:sz="0" w:space="0" w:color="auto"/>
            <w:right w:val="none" w:sz="0" w:space="0" w:color="auto"/>
          </w:divBdr>
        </w:div>
      </w:divsChild>
    </w:div>
    <w:div w:id="1306543037">
      <w:bodyDiv w:val="1"/>
      <w:marLeft w:val="0"/>
      <w:marRight w:val="0"/>
      <w:marTop w:val="0"/>
      <w:marBottom w:val="0"/>
      <w:divBdr>
        <w:top w:val="none" w:sz="0" w:space="0" w:color="auto"/>
        <w:left w:val="none" w:sz="0" w:space="0" w:color="auto"/>
        <w:bottom w:val="none" w:sz="0" w:space="0" w:color="auto"/>
        <w:right w:val="none" w:sz="0" w:space="0" w:color="auto"/>
      </w:divBdr>
      <w:divsChild>
        <w:div w:id="350449667">
          <w:marLeft w:val="0"/>
          <w:marRight w:val="0"/>
          <w:marTop w:val="0"/>
          <w:marBottom w:val="192"/>
          <w:divBdr>
            <w:top w:val="none" w:sz="0" w:space="0" w:color="auto"/>
            <w:left w:val="none" w:sz="0" w:space="0" w:color="auto"/>
            <w:bottom w:val="none" w:sz="0" w:space="0" w:color="auto"/>
            <w:right w:val="none" w:sz="0" w:space="0" w:color="auto"/>
          </w:divBdr>
        </w:div>
        <w:div w:id="1441333737">
          <w:marLeft w:val="0"/>
          <w:marRight w:val="0"/>
          <w:marTop w:val="0"/>
          <w:marBottom w:val="192"/>
          <w:divBdr>
            <w:top w:val="none" w:sz="0" w:space="0" w:color="auto"/>
            <w:left w:val="none" w:sz="0" w:space="0" w:color="auto"/>
            <w:bottom w:val="none" w:sz="0" w:space="0" w:color="auto"/>
            <w:right w:val="none" w:sz="0" w:space="0" w:color="auto"/>
          </w:divBdr>
        </w:div>
      </w:divsChild>
    </w:div>
    <w:div w:id="1488741636">
      <w:bodyDiv w:val="1"/>
      <w:marLeft w:val="0"/>
      <w:marRight w:val="0"/>
      <w:marTop w:val="0"/>
      <w:marBottom w:val="0"/>
      <w:divBdr>
        <w:top w:val="none" w:sz="0" w:space="0" w:color="auto"/>
        <w:left w:val="none" w:sz="0" w:space="0" w:color="auto"/>
        <w:bottom w:val="none" w:sz="0" w:space="0" w:color="auto"/>
        <w:right w:val="none" w:sz="0" w:space="0" w:color="auto"/>
      </w:divBdr>
      <w:divsChild>
        <w:div w:id="1718432513">
          <w:marLeft w:val="0"/>
          <w:marRight w:val="0"/>
          <w:marTop w:val="0"/>
          <w:marBottom w:val="192"/>
          <w:divBdr>
            <w:top w:val="none" w:sz="0" w:space="0" w:color="auto"/>
            <w:left w:val="none" w:sz="0" w:space="0" w:color="auto"/>
            <w:bottom w:val="none" w:sz="0" w:space="0" w:color="auto"/>
            <w:right w:val="none" w:sz="0" w:space="0" w:color="auto"/>
          </w:divBdr>
          <w:divsChild>
            <w:div w:id="226305731">
              <w:marLeft w:val="0"/>
              <w:marRight w:val="0"/>
              <w:marTop w:val="0"/>
              <w:marBottom w:val="0"/>
              <w:divBdr>
                <w:top w:val="none" w:sz="0" w:space="0" w:color="auto"/>
                <w:left w:val="none" w:sz="0" w:space="0" w:color="auto"/>
                <w:bottom w:val="none" w:sz="0" w:space="0" w:color="auto"/>
                <w:right w:val="none" w:sz="0" w:space="0" w:color="auto"/>
              </w:divBdr>
            </w:div>
            <w:div w:id="200560052">
              <w:marLeft w:val="624"/>
              <w:marRight w:val="0"/>
              <w:marTop w:val="0"/>
              <w:marBottom w:val="0"/>
              <w:divBdr>
                <w:top w:val="none" w:sz="0" w:space="0" w:color="auto"/>
                <w:left w:val="none" w:sz="0" w:space="0" w:color="auto"/>
                <w:bottom w:val="none" w:sz="0" w:space="0" w:color="auto"/>
                <w:right w:val="none" w:sz="0" w:space="0" w:color="auto"/>
              </w:divBdr>
            </w:div>
            <w:div w:id="371808946">
              <w:marLeft w:val="624"/>
              <w:marRight w:val="0"/>
              <w:marTop w:val="0"/>
              <w:marBottom w:val="0"/>
              <w:divBdr>
                <w:top w:val="none" w:sz="0" w:space="0" w:color="auto"/>
                <w:left w:val="none" w:sz="0" w:space="0" w:color="auto"/>
                <w:bottom w:val="none" w:sz="0" w:space="0" w:color="auto"/>
                <w:right w:val="none" w:sz="0" w:space="0" w:color="auto"/>
              </w:divBdr>
            </w:div>
            <w:div w:id="311447103">
              <w:marLeft w:val="624"/>
              <w:marRight w:val="0"/>
              <w:marTop w:val="0"/>
              <w:marBottom w:val="0"/>
              <w:divBdr>
                <w:top w:val="none" w:sz="0" w:space="0" w:color="auto"/>
                <w:left w:val="none" w:sz="0" w:space="0" w:color="auto"/>
                <w:bottom w:val="none" w:sz="0" w:space="0" w:color="auto"/>
                <w:right w:val="none" w:sz="0" w:space="0" w:color="auto"/>
              </w:divBdr>
            </w:div>
          </w:divsChild>
        </w:div>
        <w:div w:id="1432821945">
          <w:marLeft w:val="0"/>
          <w:marRight w:val="0"/>
          <w:marTop w:val="0"/>
          <w:marBottom w:val="192"/>
          <w:divBdr>
            <w:top w:val="none" w:sz="0" w:space="0" w:color="auto"/>
            <w:left w:val="none" w:sz="0" w:space="0" w:color="auto"/>
            <w:bottom w:val="none" w:sz="0" w:space="0" w:color="auto"/>
            <w:right w:val="none" w:sz="0" w:space="0" w:color="auto"/>
          </w:divBdr>
        </w:div>
      </w:divsChild>
    </w:div>
    <w:div w:id="1567884005">
      <w:bodyDiv w:val="1"/>
      <w:marLeft w:val="0"/>
      <w:marRight w:val="0"/>
      <w:marTop w:val="0"/>
      <w:marBottom w:val="0"/>
      <w:divBdr>
        <w:top w:val="none" w:sz="0" w:space="0" w:color="auto"/>
        <w:left w:val="none" w:sz="0" w:space="0" w:color="auto"/>
        <w:bottom w:val="none" w:sz="0" w:space="0" w:color="auto"/>
        <w:right w:val="none" w:sz="0" w:space="0" w:color="auto"/>
      </w:divBdr>
    </w:div>
    <w:div w:id="1590429919">
      <w:bodyDiv w:val="1"/>
      <w:marLeft w:val="0"/>
      <w:marRight w:val="0"/>
      <w:marTop w:val="0"/>
      <w:marBottom w:val="0"/>
      <w:divBdr>
        <w:top w:val="none" w:sz="0" w:space="0" w:color="auto"/>
        <w:left w:val="none" w:sz="0" w:space="0" w:color="auto"/>
        <w:bottom w:val="none" w:sz="0" w:space="0" w:color="auto"/>
        <w:right w:val="none" w:sz="0" w:space="0" w:color="auto"/>
      </w:divBdr>
      <w:divsChild>
        <w:div w:id="432670907">
          <w:marLeft w:val="0"/>
          <w:marRight w:val="0"/>
          <w:marTop w:val="0"/>
          <w:marBottom w:val="192"/>
          <w:divBdr>
            <w:top w:val="none" w:sz="0" w:space="0" w:color="auto"/>
            <w:left w:val="none" w:sz="0" w:space="0" w:color="auto"/>
            <w:bottom w:val="none" w:sz="0" w:space="0" w:color="auto"/>
            <w:right w:val="none" w:sz="0" w:space="0" w:color="auto"/>
          </w:divBdr>
          <w:divsChild>
            <w:div w:id="1305502932">
              <w:marLeft w:val="0"/>
              <w:marRight w:val="0"/>
              <w:marTop w:val="0"/>
              <w:marBottom w:val="0"/>
              <w:divBdr>
                <w:top w:val="none" w:sz="0" w:space="0" w:color="auto"/>
                <w:left w:val="none" w:sz="0" w:space="0" w:color="auto"/>
                <w:bottom w:val="none" w:sz="0" w:space="0" w:color="auto"/>
                <w:right w:val="none" w:sz="0" w:space="0" w:color="auto"/>
              </w:divBdr>
            </w:div>
            <w:div w:id="975766296">
              <w:marLeft w:val="624"/>
              <w:marRight w:val="0"/>
              <w:marTop w:val="0"/>
              <w:marBottom w:val="0"/>
              <w:divBdr>
                <w:top w:val="none" w:sz="0" w:space="0" w:color="auto"/>
                <w:left w:val="none" w:sz="0" w:space="0" w:color="auto"/>
                <w:bottom w:val="none" w:sz="0" w:space="0" w:color="auto"/>
                <w:right w:val="none" w:sz="0" w:space="0" w:color="auto"/>
              </w:divBdr>
            </w:div>
            <w:div w:id="1237595724">
              <w:marLeft w:val="624"/>
              <w:marRight w:val="0"/>
              <w:marTop w:val="0"/>
              <w:marBottom w:val="0"/>
              <w:divBdr>
                <w:top w:val="none" w:sz="0" w:space="0" w:color="auto"/>
                <w:left w:val="none" w:sz="0" w:space="0" w:color="auto"/>
                <w:bottom w:val="none" w:sz="0" w:space="0" w:color="auto"/>
                <w:right w:val="none" w:sz="0" w:space="0" w:color="auto"/>
              </w:divBdr>
            </w:div>
            <w:div w:id="218440565">
              <w:marLeft w:val="624"/>
              <w:marRight w:val="0"/>
              <w:marTop w:val="0"/>
              <w:marBottom w:val="0"/>
              <w:divBdr>
                <w:top w:val="none" w:sz="0" w:space="0" w:color="auto"/>
                <w:left w:val="none" w:sz="0" w:space="0" w:color="auto"/>
                <w:bottom w:val="none" w:sz="0" w:space="0" w:color="auto"/>
                <w:right w:val="none" w:sz="0" w:space="0" w:color="auto"/>
              </w:divBdr>
            </w:div>
            <w:div w:id="1549294552">
              <w:marLeft w:val="624"/>
              <w:marRight w:val="0"/>
              <w:marTop w:val="0"/>
              <w:marBottom w:val="0"/>
              <w:divBdr>
                <w:top w:val="none" w:sz="0" w:space="0" w:color="auto"/>
                <w:left w:val="none" w:sz="0" w:space="0" w:color="auto"/>
                <w:bottom w:val="none" w:sz="0" w:space="0" w:color="auto"/>
                <w:right w:val="none" w:sz="0" w:space="0" w:color="auto"/>
              </w:divBdr>
            </w:div>
          </w:divsChild>
        </w:div>
        <w:div w:id="66658575">
          <w:marLeft w:val="0"/>
          <w:marRight w:val="0"/>
          <w:marTop w:val="0"/>
          <w:marBottom w:val="192"/>
          <w:divBdr>
            <w:top w:val="none" w:sz="0" w:space="0" w:color="auto"/>
            <w:left w:val="none" w:sz="0" w:space="0" w:color="auto"/>
            <w:bottom w:val="none" w:sz="0" w:space="0" w:color="auto"/>
            <w:right w:val="none" w:sz="0" w:space="0" w:color="auto"/>
          </w:divBdr>
        </w:div>
      </w:divsChild>
    </w:div>
    <w:div w:id="1611666409">
      <w:bodyDiv w:val="1"/>
      <w:marLeft w:val="0"/>
      <w:marRight w:val="0"/>
      <w:marTop w:val="0"/>
      <w:marBottom w:val="0"/>
      <w:divBdr>
        <w:top w:val="none" w:sz="0" w:space="0" w:color="auto"/>
        <w:left w:val="none" w:sz="0" w:space="0" w:color="auto"/>
        <w:bottom w:val="none" w:sz="0" w:space="0" w:color="auto"/>
        <w:right w:val="none" w:sz="0" w:space="0" w:color="auto"/>
      </w:divBdr>
      <w:divsChild>
        <w:div w:id="996878432">
          <w:marLeft w:val="0"/>
          <w:marRight w:val="0"/>
          <w:marTop w:val="0"/>
          <w:marBottom w:val="192"/>
          <w:divBdr>
            <w:top w:val="none" w:sz="0" w:space="0" w:color="auto"/>
            <w:left w:val="none" w:sz="0" w:space="0" w:color="auto"/>
            <w:bottom w:val="none" w:sz="0" w:space="0" w:color="auto"/>
            <w:right w:val="none" w:sz="0" w:space="0" w:color="auto"/>
          </w:divBdr>
        </w:div>
        <w:div w:id="262424666">
          <w:marLeft w:val="0"/>
          <w:marRight w:val="0"/>
          <w:marTop w:val="0"/>
          <w:marBottom w:val="192"/>
          <w:divBdr>
            <w:top w:val="none" w:sz="0" w:space="0" w:color="auto"/>
            <w:left w:val="none" w:sz="0" w:space="0" w:color="auto"/>
            <w:bottom w:val="none" w:sz="0" w:space="0" w:color="auto"/>
            <w:right w:val="none" w:sz="0" w:space="0" w:color="auto"/>
          </w:divBdr>
        </w:div>
        <w:div w:id="1034304996">
          <w:marLeft w:val="0"/>
          <w:marRight w:val="0"/>
          <w:marTop w:val="0"/>
          <w:marBottom w:val="192"/>
          <w:divBdr>
            <w:top w:val="none" w:sz="0" w:space="0" w:color="auto"/>
            <w:left w:val="none" w:sz="0" w:space="0" w:color="auto"/>
            <w:bottom w:val="none" w:sz="0" w:space="0" w:color="auto"/>
            <w:right w:val="none" w:sz="0" w:space="0" w:color="auto"/>
          </w:divBdr>
        </w:div>
        <w:div w:id="1666199007">
          <w:marLeft w:val="0"/>
          <w:marRight w:val="0"/>
          <w:marTop w:val="0"/>
          <w:marBottom w:val="192"/>
          <w:divBdr>
            <w:top w:val="none" w:sz="0" w:space="0" w:color="auto"/>
            <w:left w:val="none" w:sz="0" w:space="0" w:color="auto"/>
            <w:bottom w:val="none" w:sz="0" w:space="0" w:color="auto"/>
            <w:right w:val="none" w:sz="0" w:space="0" w:color="auto"/>
          </w:divBdr>
        </w:div>
      </w:divsChild>
    </w:div>
    <w:div w:id="1622760375">
      <w:bodyDiv w:val="1"/>
      <w:marLeft w:val="0"/>
      <w:marRight w:val="0"/>
      <w:marTop w:val="0"/>
      <w:marBottom w:val="0"/>
      <w:divBdr>
        <w:top w:val="none" w:sz="0" w:space="0" w:color="auto"/>
        <w:left w:val="none" w:sz="0" w:space="0" w:color="auto"/>
        <w:bottom w:val="none" w:sz="0" w:space="0" w:color="auto"/>
        <w:right w:val="none" w:sz="0" w:space="0" w:color="auto"/>
      </w:divBdr>
      <w:divsChild>
        <w:div w:id="1790587734">
          <w:marLeft w:val="0"/>
          <w:marRight w:val="0"/>
          <w:marTop w:val="0"/>
          <w:marBottom w:val="192"/>
          <w:divBdr>
            <w:top w:val="none" w:sz="0" w:space="0" w:color="auto"/>
            <w:left w:val="none" w:sz="0" w:space="0" w:color="auto"/>
            <w:bottom w:val="none" w:sz="0" w:space="0" w:color="auto"/>
            <w:right w:val="none" w:sz="0" w:space="0" w:color="auto"/>
          </w:divBdr>
        </w:div>
        <w:div w:id="160243657">
          <w:marLeft w:val="0"/>
          <w:marRight w:val="0"/>
          <w:marTop w:val="0"/>
          <w:marBottom w:val="192"/>
          <w:divBdr>
            <w:top w:val="none" w:sz="0" w:space="0" w:color="auto"/>
            <w:left w:val="none" w:sz="0" w:space="0" w:color="auto"/>
            <w:bottom w:val="none" w:sz="0" w:space="0" w:color="auto"/>
            <w:right w:val="none" w:sz="0" w:space="0" w:color="auto"/>
          </w:divBdr>
        </w:div>
        <w:div w:id="1956862960">
          <w:marLeft w:val="0"/>
          <w:marRight w:val="0"/>
          <w:marTop w:val="0"/>
          <w:marBottom w:val="192"/>
          <w:divBdr>
            <w:top w:val="none" w:sz="0" w:space="0" w:color="auto"/>
            <w:left w:val="none" w:sz="0" w:space="0" w:color="auto"/>
            <w:bottom w:val="none" w:sz="0" w:space="0" w:color="auto"/>
            <w:right w:val="none" w:sz="0" w:space="0" w:color="auto"/>
          </w:divBdr>
        </w:div>
        <w:div w:id="890337408">
          <w:marLeft w:val="0"/>
          <w:marRight w:val="0"/>
          <w:marTop w:val="0"/>
          <w:marBottom w:val="192"/>
          <w:divBdr>
            <w:top w:val="none" w:sz="0" w:space="0" w:color="auto"/>
            <w:left w:val="none" w:sz="0" w:space="0" w:color="auto"/>
            <w:bottom w:val="none" w:sz="0" w:space="0" w:color="auto"/>
            <w:right w:val="none" w:sz="0" w:space="0" w:color="auto"/>
          </w:divBdr>
        </w:div>
      </w:divsChild>
    </w:div>
    <w:div w:id="1729649999">
      <w:bodyDiv w:val="1"/>
      <w:marLeft w:val="0"/>
      <w:marRight w:val="0"/>
      <w:marTop w:val="0"/>
      <w:marBottom w:val="0"/>
      <w:divBdr>
        <w:top w:val="none" w:sz="0" w:space="0" w:color="auto"/>
        <w:left w:val="none" w:sz="0" w:space="0" w:color="auto"/>
        <w:bottom w:val="none" w:sz="0" w:space="0" w:color="auto"/>
        <w:right w:val="none" w:sz="0" w:space="0" w:color="auto"/>
      </w:divBdr>
      <w:divsChild>
        <w:div w:id="1749380506">
          <w:marLeft w:val="0"/>
          <w:marRight w:val="0"/>
          <w:marTop w:val="0"/>
          <w:marBottom w:val="192"/>
          <w:divBdr>
            <w:top w:val="none" w:sz="0" w:space="0" w:color="auto"/>
            <w:left w:val="none" w:sz="0" w:space="0" w:color="auto"/>
            <w:bottom w:val="none" w:sz="0" w:space="0" w:color="auto"/>
            <w:right w:val="none" w:sz="0" w:space="0" w:color="auto"/>
          </w:divBdr>
        </w:div>
        <w:div w:id="1409421409">
          <w:marLeft w:val="0"/>
          <w:marRight w:val="0"/>
          <w:marTop w:val="0"/>
          <w:marBottom w:val="192"/>
          <w:divBdr>
            <w:top w:val="none" w:sz="0" w:space="0" w:color="auto"/>
            <w:left w:val="none" w:sz="0" w:space="0" w:color="auto"/>
            <w:bottom w:val="none" w:sz="0" w:space="0" w:color="auto"/>
            <w:right w:val="none" w:sz="0" w:space="0" w:color="auto"/>
          </w:divBdr>
        </w:div>
      </w:divsChild>
    </w:div>
    <w:div w:id="1757550616">
      <w:bodyDiv w:val="1"/>
      <w:marLeft w:val="0"/>
      <w:marRight w:val="0"/>
      <w:marTop w:val="0"/>
      <w:marBottom w:val="0"/>
      <w:divBdr>
        <w:top w:val="none" w:sz="0" w:space="0" w:color="auto"/>
        <w:left w:val="none" w:sz="0" w:space="0" w:color="auto"/>
        <w:bottom w:val="none" w:sz="0" w:space="0" w:color="auto"/>
        <w:right w:val="none" w:sz="0" w:space="0" w:color="auto"/>
      </w:divBdr>
      <w:divsChild>
        <w:div w:id="1003822808">
          <w:marLeft w:val="0"/>
          <w:marRight w:val="0"/>
          <w:marTop w:val="0"/>
          <w:marBottom w:val="192"/>
          <w:divBdr>
            <w:top w:val="none" w:sz="0" w:space="0" w:color="auto"/>
            <w:left w:val="none" w:sz="0" w:space="0" w:color="auto"/>
            <w:bottom w:val="none" w:sz="0" w:space="0" w:color="auto"/>
            <w:right w:val="none" w:sz="0" w:space="0" w:color="auto"/>
          </w:divBdr>
          <w:divsChild>
            <w:div w:id="977227636">
              <w:marLeft w:val="0"/>
              <w:marRight w:val="0"/>
              <w:marTop w:val="0"/>
              <w:marBottom w:val="0"/>
              <w:divBdr>
                <w:top w:val="none" w:sz="0" w:space="0" w:color="auto"/>
                <w:left w:val="none" w:sz="0" w:space="0" w:color="auto"/>
                <w:bottom w:val="none" w:sz="0" w:space="0" w:color="auto"/>
                <w:right w:val="none" w:sz="0" w:space="0" w:color="auto"/>
              </w:divBdr>
            </w:div>
            <w:div w:id="611395995">
              <w:marLeft w:val="624"/>
              <w:marRight w:val="0"/>
              <w:marTop w:val="0"/>
              <w:marBottom w:val="0"/>
              <w:divBdr>
                <w:top w:val="none" w:sz="0" w:space="0" w:color="auto"/>
                <w:left w:val="none" w:sz="0" w:space="0" w:color="auto"/>
                <w:bottom w:val="none" w:sz="0" w:space="0" w:color="auto"/>
                <w:right w:val="none" w:sz="0" w:space="0" w:color="auto"/>
              </w:divBdr>
            </w:div>
            <w:div w:id="907770246">
              <w:marLeft w:val="624"/>
              <w:marRight w:val="0"/>
              <w:marTop w:val="0"/>
              <w:marBottom w:val="0"/>
              <w:divBdr>
                <w:top w:val="none" w:sz="0" w:space="0" w:color="auto"/>
                <w:left w:val="none" w:sz="0" w:space="0" w:color="auto"/>
                <w:bottom w:val="none" w:sz="0" w:space="0" w:color="auto"/>
                <w:right w:val="none" w:sz="0" w:space="0" w:color="auto"/>
              </w:divBdr>
            </w:div>
          </w:divsChild>
        </w:div>
        <w:div w:id="1418210007">
          <w:marLeft w:val="0"/>
          <w:marRight w:val="0"/>
          <w:marTop w:val="312"/>
          <w:marBottom w:val="96"/>
          <w:divBdr>
            <w:top w:val="none" w:sz="0" w:space="0" w:color="auto"/>
            <w:left w:val="none" w:sz="0" w:space="0" w:color="auto"/>
            <w:bottom w:val="none" w:sz="0" w:space="0" w:color="auto"/>
            <w:right w:val="none" w:sz="0" w:space="0" w:color="auto"/>
          </w:divBdr>
        </w:div>
        <w:div w:id="69154659">
          <w:marLeft w:val="0"/>
          <w:marRight w:val="0"/>
          <w:marTop w:val="0"/>
          <w:marBottom w:val="192"/>
          <w:divBdr>
            <w:top w:val="none" w:sz="0" w:space="0" w:color="auto"/>
            <w:left w:val="none" w:sz="0" w:space="0" w:color="auto"/>
            <w:bottom w:val="none" w:sz="0" w:space="0" w:color="auto"/>
            <w:right w:val="none" w:sz="0" w:space="0" w:color="auto"/>
          </w:divBdr>
        </w:div>
      </w:divsChild>
    </w:div>
    <w:div w:id="1803303435">
      <w:bodyDiv w:val="1"/>
      <w:marLeft w:val="0"/>
      <w:marRight w:val="0"/>
      <w:marTop w:val="0"/>
      <w:marBottom w:val="0"/>
      <w:divBdr>
        <w:top w:val="none" w:sz="0" w:space="0" w:color="auto"/>
        <w:left w:val="none" w:sz="0" w:space="0" w:color="auto"/>
        <w:bottom w:val="none" w:sz="0" w:space="0" w:color="auto"/>
        <w:right w:val="none" w:sz="0" w:space="0" w:color="auto"/>
      </w:divBdr>
      <w:divsChild>
        <w:div w:id="2054496026">
          <w:marLeft w:val="0"/>
          <w:marRight w:val="0"/>
          <w:marTop w:val="0"/>
          <w:marBottom w:val="192"/>
          <w:divBdr>
            <w:top w:val="none" w:sz="0" w:space="0" w:color="auto"/>
            <w:left w:val="none" w:sz="0" w:space="0" w:color="auto"/>
            <w:bottom w:val="none" w:sz="0" w:space="0" w:color="auto"/>
            <w:right w:val="none" w:sz="0" w:space="0" w:color="auto"/>
          </w:divBdr>
          <w:divsChild>
            <w:div w:id="1146166074">
              <w:marLeft w:val="0"/>
              <w:marRight w:val="0"/>
              <w:marTop w:val="0"/>
              <w:marBottom w:val="0"/>
              <w:divBdr>
                <w:top w:val="none" w:sz="0" w:space="0" w:color="auto"/>
                <w:left w:val="none" w:sz="0" w:space="0" w:color="auto"/>
                <w:bottom w:val="none" w:sz="0" w:space="0" w:color="auto"/>
                <w:right w:val="none" w:sz="0" w:space="0" w:color="auto"/>
              </w:divBdr>
            </w:div>
            <w:div w:id="14508011">
              <w:marLeft w:val="624"/>
              <w:marRight w:val="0"/>
              <w:marTop w:val="0"/>
              <w:marBottom w:val="0"/>
              <w:divBdr>
                <w:top w:val="none" w:sz="0" w:space="0" w:color="auto"/>
                <w:left w:val="none" w:sz="0" w:space="0" w:color="auto"/>
                <w:bottom w:val="none" w:sz="0" w:space="0" w:color="auto"/>
                <w:right w:val="none" w:sz="0" w:space="0" w:color="auto"/>
              </w:divBdr>
            </w:div>
            <w:div w:id="1605264854">
              <w:marLeft w:val="624"/>
              <w:marRight w:val="0"/>
              <w:marTop w:val="0"/>
              <w:marBottom w:val="0"/>
              <w:divBdr>
                <w:top w:val="none" w:sz="0" w:space="0" w:color="auto"/>
                <w:left w:val="none" w:sz="0" w:space="0" w:color="auto"/>
                <w:bottom w:val="none" w:sz="0" w:space="0" w:color="auto"/>
                <w:right w:val="none" w:sz="0" w:space="0" w:color="auto"/>
              </w:divBdr>
            </w:div>
            <w:div w:id="1463231363">
              <w:marLeft w:val="624"/>
              <w:marRight w:val="0"/>
              <w:marTop w:val="0"/>
              <w:marBottom w:val="0"/>
              <w:divBdr>
                <w:top w:val="none" w:sz="0" w:space="0" w:color="auto"/>
                <w:left w:val="none" w:sz="0" w:space="0" w:color="auto"/>
                <w:bottom w:val="none" w:sz="0" w:space="0" w:color="auto"/>
                <w:right w:val="none" w:sz="0" w:space="0" w:color="auto"/>
              </w:divBdr>
            </w:div>
          </w:divsChild>
        </w:div>
        <w:div w:id="975842296">
          <w:marLeft w:val="0"/>
          <w:marRight w:val="0"/>
          <w:marTop w:val="0"/>
          <w:marBottom w:val="192"/>
          <w:divBdr>
            <w:top w:val="none" w:sz="0" w:space="0" w:color="auto"/>
            <w:left w:val="none" w:sz="0" w:space="0" w:color="auto"/>
            <w:bottom w:val="none" w:sz="0" w:space="0" w:color="auto"/>
            <w:right w:val="none" w:sz="0" w:space="0" w:color="auto"/>
          </w:divBdr>
        </w:div>
      </w:divsChild>
    </w:div>
    <w:div w:id="1935937480">
      <w:bodyDiv w:val="1"/>
      <w:marLeft w:val="0"/>
      <w:marRight w:val="0"/>
      <w:marTop w:val="0"/>
      <w:marBottom w:val="0"/>
      <w:divBdr>
        <w:top w:val="none" w:sz="0" w:space="0" w:color="auto"/>
        <w:left w:val="none" w:sz="0" w:space="0" w:color="auto"/>
        <w:bottom w:val="none" w:sz="0" w:space="0" w:color="auto"/>
        <w:right w:val="none" w:sz="0" w:space="0" w:color="auto"/>
      </w:divBdr>
      <w:divsChild>
        <w:div w:id="2138139916">
          <w:marLeft w:val="624"/>
          <w:marRight w:val="0"/>
          <w:marTop w:val="0"/>
          <w:marBottom w:val="0"/>
          <w:divBdr>
            <w:top w:val="none" w:sz="0" w:space="0" w:color="auto"/>
            <w:left w:val="none" w:sz="0" w:space="0" w:color="auto"/>
            <w:bottom w:val="none" w:sz="0" w:space="0" w:color="auto"/>
            <w:right w:val="none" w:sz="0" w:space="0" w:color="auto"/>
          </w:divBdr>
        </w:div>
        <w:div w:id="285821551">
          <w:marLeft w:val="624"/>
          <w:marRight w:val="0"/>
          <w:marTop w:val="0"/>
          <w:marBottom w:val="0"/>
          <w:divBdr>
            <w:top w:val="none" w:sz="0" w:space="0" w:color="auto"/>
            <w:left w:val="none" w:sz="0" w:space="0" w:color="auto"/>
            <w:bottom w:val="none" w:sz="0" w:space="0" w:color="auto"/>
            <w:right w:val="none" w:sz="0" w:space="0" w:color="auto"/>
          </w:divBdr>
        </w:div>
        <w:div w:id="640502803">
          <w:marLeft w:val="624"/>
          <w:marRight w:val="0"/>
          <w:marTop w:val="0"/>
          <w:marBottom w:val="0"/>
          <w:divBdr>
            <w:top w:val="none" w:sz="0" w:space="0" w:color="auto"/>
            <w:left w:val="none" w:sz="0" w:space="0" w:color="auto"/>
            <w:bottom w:val="none" w:sz="0" w:space="0" w:color="auto"/>
            <w:right w:val="none" w:sz="0" w:space="0" w:color="auto"/>
          </w:divBdr>
        </w:div>
        <w:div w:id="512114544">
          <w:marLeft w:val="624"/>
          <w:marRight w:val="0"/>
          <w:marTop w:val="0"/>
          <w:marBottom w:val="0"/>
          <w:divBdr>
            <w:top w:val="none" w:sz="0" w:space="0" w:color="auto"/>
            <w:left w:val="none" w:sz="0" w:space="0" w:color="auto"/>
            <w:bottom w:val="none" w:sz="0" w:space="0" w:color="auto"/>
            <w:right w:val="none" w:sz="0" w:space="0" w:color="auto"/>
          </w:divBdr>
        </w:div>
        <w:div w:id="1121723246">
          <w:marLeft w:val="624"/>
          <w:marRight w:val="0"/>
          <w:marTop w:val="0"/>
          <w:marBottom w:val="0"/>
          <w:divBdr>
            <w:top w:val="none" w:sz="0" w:space="0" w:color="auto"/>
            <w:left w:val="none" w:sz="0" w:space="0" w:color="auto"/>
            <w:bottom w:val="none" w:sz="0" w:space="0" w:color="auto"/>
            <w:right w:val="none" w:sz="0" w:space="0" w:color="auto"/>
          </w:divBdr>
        </w:div>
        <w:div w:id="916788780">
          <w:marLeft w:val="624"/>
          <w:marRight w:val="0"/>
          <w:marTop w:val="0"/>
          <w:marBottom w:val="0"/>
          <w:divBdr>
            <w:top w:val="none" w:sz="0" w:space="0" w:color="auto"/>
            <w:left w:val="none" w:sz="0" w:space="0" w:color="auto"/>
            <w:bottom w:val="none" w:sz="0" w:space="0" w:color="auto"/>
            <w:right w:val="none" w:sz="0" w:space="0" w:color="auto"/>
          </w:divBdr>
        </w:div>
        <w:div w:id="538935138">
          <w:marLeft w:val="624"/>
          <w:marRight w:val="0"/>
          <w:marTop w:val="0"/>
          <w:marBottom w:val="0"/>
          <w:divBdr>
            <w:top w:val="none" w:sz="0" w:space="0" w:color="auto"/>
            <w:left w:val="none" w:sz="0" w:space="0" w:color="auto"/>
            <w:bottom w:val="none" w:sz="0" w:space="0" w:color="auto"/>
            <w:right w:val="none" w:sz="0" w:space="0" w:color="auto"/>
          </w:divBdr>
        </w:div>
      </w:divsChild>
    </w:div>
    <w:div w:id="1938753335">
      <w:bodyDiv w:val="1"/>
      <w:marLeft w:val="0"/>
      <w:marRight w:val="0"/>
      <w:marTop w:val="0"/>
      <w:marBottom w:val="0"/>
      <w:divBdr>
        <w:top w:val="none" w:sz="0" w:space="0" w:color="auto"/>
        <w:left w:val="none" w:sz="0" w:space="0" w:color="auto"/>
        <w:bottom w:val="none" w:sz="0" w:space="0" w:color="auto"/>
        <w:right w:val="none" w:sz="0" w:space="0" w:color="auto"/>
      </w:divBdr>
      <w:divsChild>
        <w:div w:id="1189174182">
          <w:marLeft w:val="0"/>
          <w:marRight w:val="0"/>
          <w:marTop w:val="0"/>
          <w:marBottom w:val="192"/>
          <w:divBdr>
            <w:top w:val="none" w:sz="0" w:space="0" w:color="auto"/>
            <w:left w:val="none" w:sz="0" w:space="0" w:color="auto"/>
            <w:bottom w:val="none" w:sz="0" w:space="0" w:color="auto"/>
            <w:right w:val="none" w:sz="0" w:space="0" w:color="auto"/>
          </w:divBdr>
        </w:div>
        <w:div w:id="420223358">
          <w:marLeft w:val="0"/>
          <w:marRight w:val="0"/>
          <w:marTop w:val="0"/>
          <w:marBottom w:val="192"/>
          <w:divBdr>
            <w:top w:val="none" w:sz="0" w:space="0" w:color="auto"/>
            <w:left w:val="none" w:sz="0" w:space="0" w:color="auto"/>
            <w:bottom w:val="none" w:sz="0" w:space="0" w:color="auto"/>
            <w:right w:val="none" w:sz="0" w:space="0" w:color="auto"/>
          </w:divBdr>
        </w:div>
      </w:divsChild>
    </w:div>
    <w:div w:id="1977568263">
      <w:bodyDiv w:val="1"/>
      <w:marLeft w:val="0"/>
      <w:marRight w:val="0"/>
      <w:marTop w:val="0"/>
      <w:marBottom w:val="0"/>
      <w:divBdr>
        <w:top w:val="none" w:sz="0" w:space="0" w:color="auto"/>
        <w:left w:val="none" w:sz="0" w:space="0" w:color="auto"/>
        <w:bottom w:val="none" w:sz="0" w:space="0" w:color="auto"/>
        <w:right w:val="none" w:sz="0" w:space="0" w:color="auto"/>
      </w:divBdr>
      <w:divsChild>
        <w:div w:id="14188209">
          <w:marLeft w:val="0"/>
          <w:marRight w:val="0"/>
          <w:marTop w:val="0"/>
          <w:marBottom w:val="192"/>
          <w:divBdr>
            <w:top w:val="none" w:sz="0" w:space="0" w:color="auto"/>
            <w:left w:val="none" w:sz="0" w:space="0" w:color="auto"/>
            <w:bottom w:val="none" w:sz="0" w:space="0" w:color="auto"/>
            <w:right w:val="none" w:sz="0" w:space="0" w:color="auto"/>
          </w:divBdr>
        </w:div>
        <w:div w:id="1932742144">
          <w:marLeft w:val="0"/>
          <w:marRight w:val="0"/>
          <w:marTop w:val="0"/>
          <w:marBottom w:val="192"/>
          <w:divBdr>
            <w:top w:val="none" w:sz="0" w:space="0" w:color="auto"/>
            <w:left w:val="none" w:sz="0" w:space="0" w:color="auto"/>
            <w:bottom w:val="none" w:sz="0" w:space="0" w:color="auto"/>
            <w:right w:val="none" w:sz="0" w:space="0" w:color="auto"/>
          </w:divBdr>
        </w:div>
      </w:divsChild>
    </w:div>
    <w:div w:id="2043745588">
      <w:bodyDiv w:val="1"/>
      <w:marLeft w:val="0"/>
      <w:marRight w:val="0"/>
      <w:marTop w:val="0"/>
      <w:marBottom w:val="0"/>
      <w:divBdr>
        <w:top w:val="none" w:sz="0" w:space="0" w:color="auto"/>
        <w:left w:val="none" w:sz="0" w:space="0" w:color="auto"/>
        <w:bottom w:val="none" w:sz="0" w:space="0" w:color="auto"/>
        <w:right w:val="none" w:sz="0" w:space="0" w:color="auto"/>
      </w:divBdr>
      <w:divsChild>
        <w:div w:id="1206790303">
          <w:marLeft w:val="0"/>
          <w:marRight w:val="0"/>
          <w:marTop w:val="0"/>
          <w:marBottom w:val="192"/>
          <w:divBdr>
            <w:top w:val="none" w:sz="0" w:space="0" w:color="auto"/>
            <w:left w:val="none" w:sz="0" w:space="0" w:color="auto"/>
            <w:bottom w:val="none" w:sz="0" w:space="0" w:color="auto"/>
            <w:right w:val="none" w:sz="0" w:space="0" w:color="auto"/>
          </w:divBdr>
        </w:div>
        <w:div w:id="1723943324">
          <w:marLeft w:val="0"/>
          <w:marRight w:val="0"/>
          <w:marTop w:val="0"/>
          <w:marBottom w:val="192"/>
          <w:divBdr>
            <w:top w:val="none" w:sz="0" w:space="0" w:color="auto"/>
            <w:left w:val="none" w:sz="0" w:space="0" w:color="auto"/>
            <w:bottom w:val="none" w:sz="0" w:space="0" w:color="auto"/>
            <w:right w:val="none" w:sz="0" w:space="0" w:color="auto"/>
          </w:divBdr>
        </w:div>
      </w:divsChild>
    </w:div>
    <w:div w:id="2078169473">
      <w:bodyDiv w:val="1"/>
      <w:marLeft w:val="0"/>
      <w:marRight w:val="0"/>
      <w:marTop w:val="0"/>
      <w:marBottom w:val="0"/>
      <w:divBdr>
        <w:top w:val="none" w:sz="0" w:space="0" w:color="auto"/>
        <w:left w:val="none" w:sz="0" w:space="0" w:color="auto"/>
        <w:bottom w:val="none" w:sz="0" w:space="0" w:color="auto"/>
        <w:right w:val="none" w:sz="0" w:space="0" w:color="auto"/>
      </w:divBdr>
      <w:divsChild>
        <w:div w:id="1912618025">
          <w:marLeft w:val="624"/>
          <w:marRight w:val="0"/>
          <w:marTop w:val="0"/>
          <w:marBottom w:val="0"/>
          <w:divBdr>
            <w:top w:val="none" w:sz="0" w:space="0" w:color="auto"/>
            <w:left w:val="none" w:sz="0" w:space="0" w:color="auto"/>
            <w:bottom w:val="none" w:sz="0" w:space="0" w:color="auto"/>
            <w:right w:val="none" w:sz="0" w:space="0" w:color="auto"/>
          </w:divBdr>
        </w:div>
        <w:div w:id="441657428">
          <w:marLeft w:val="624"/>
          <w:marRight w:val="0"/>
          <w:marTop w:val="0"/>
          <w:marBottom w:val="0"/>
          <w:divBdr>
            <w:top w:val="none" w:sz="0" w:space="0" w:color="auto"/>
            <w:left w:val="none" w:sz="0" w:space="0" w:color="auto"/>
            <w:bottom w:val="none" w:sz="0" w:space="0" w:color="auto"/>
            <w:right w:val="none" w:sz="0" w:space="0" w:color="auto"/>
          </w:divBdr>
        </w:div>
        <w:div w:id="1148472918">
          <w:marLeft w:val="624"/>
          <w:marRight w:val="0"/>
          <w:marTop w:val="0"/>
          <w:marBottom w:val="0"/>
          <w:divBdr>
            <w:top w:val="none" w:sz="0" w:space="0" w:color="auto"/>
            <w:left w:val="none" w:sz="0" w:space="0" w:color="auto"/>
            <w:bottom w:val="none" w:sz="0" w:space="0" w:color="auto"/>
            <w:right w:val="none" w:sz="0" w:space="0" w:color="auto"/>
          </w:divBdr>
        </w:div>
        <w:div w:id="1222862878">
          <w:marLeft w:val="624"/>
          <w:marRight w:val="0"/>
          <w:marTop w:val="0"/>
          <w:marBottom w:val="0"/>
          <w:divBdr>
            <w:top w:val="none" w:sz="0" w:space="0" w:color="auto"/>
            <w:left w:val="none" w:sz="0" w:space="0" w:color="auto"/>
            <w:bottom w:val="none" w:sz="0" w:space="0" w:color="auto"/>
            <w:right w:val="none" w:sz="0" w:space="0" w:color="auto"/>
          </w:divBdr>
        </w:div>
        <w:div w:id="1998728408">
          <w:marLeft w:val="624"/>
          <w:marRight w:val="0"/>
          <w:marTop w:val="0"/>
          <w:marBottom w:val="0"/>
          <w:divBdr>
            <w:top w:val="none" w:sz="0" w:space="0" w:color="auto"/>
            <w:left w:val="none" w:sz="0" w:space="0" w:color="auto"/>
            <w:bottom w:val="none" w:sz="0" w:space="0" w:color="auto"/>
            <w:right w:val="none" w:sz="0" w:space="0" w:color="auto"/>
          </w:divBdr>
        </w:div>
        <w:div w:id="1959335696">
          <w:marLeft w:val="624"/>
          <w:marRight w:val="0"/>
          <w:marTop w:val="0"/>
          <w:marBottom w:val="0"/>
          <w:divBdr>
            <w:top w:val="none" w:sz="0" w:space="0" w:color="auto"/>
            <w:left w:val="none" w:sz="0" w:space="0" w:color="auto"/>
            <w:bottom w:val="none" w:sz="0" w:space="0" w:color="auto"/>
            <w:right w:val="none" w:sz="0" w:space="0" w:color="auto"/>
          </w:divBdr>
        </w:div>
        <w:div w:id="1242520052">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1975</Words>
  <Characters>11658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Rotta</dc:creator>
  <cp:keywords/>
  <dc:description/>
  <cp:lastModifiedBy>Jan Rotta</cp:lastModifiedBy>
  <cp:revision>2</cp:revision>
  <dcterms:created xsi:type="dcterms:W3CDTF">2024-10-09T09:20:00Z</dcterms:created>
  <dcterms:modified xsi:type="dcterms:W3CDTF">2024-10-09T09:20:00Z</dcterms:modified>
</cp:coreProperties>
</file>